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2"/>
        <w:widowControl w:val="0"/>
        <w:adjustRightInd w:val="0"/>
        <w:snapToGrid w:val="0"/>
        <w:spacing w:line="560" w:lineRule="exact"/>
        <w:ind w:left="0"/>
        <w:jc w:val="both"/>
        <w:rPr>
          <w:rFonts w:ascii="方正黑体_GBK" w:eastAsia="方正黑体_GBK" w:hint="eastAsia"/>
          <w:w w:val="113"/>
          <w:sz w:val="21"/>
          <w:szCs w:val="21"/>
        </w:rPr>
      </w:pPr>
      <w:r>
        <w:rPr>
          <w:rFonts w:ascii="方正黑体_GBK" w:eastAsia="方正黑体_GBK" w:hint="eastAsia"/>
          <w:sz w:val="32"/>
          <w:szCs w:val="32"/>
        </w:rPr>
        <w:t>附件1</w:t>
      </w:r>
    </w:p>
    <w:p>
      <w:pPr>
        <w:pStyle w:val="23"/>
        <w:adjustRightInd w:val="0"/>
        <w:snapToGrid w:val="0"/>
        <w:spacing w:line="560" w:lineRule="exact"/>
        <w:jc w:val="center"/>
        <w:rPr>
          <w:rFonts w:eastAsia="方正小标宋_GBK"/>
          <w:sz w:val="36"/>
          <w:szCs w:val="36"/>
        </w:rPr>
      </w:pPr>
    </w:p>
    <w:p>
      <w:pPr>
        <w:pStyle w:val="23"/>
        <w:adjustRightInd w:val="0"/>
        <w:snapToGrid w:val="0"/>
        <w:spacing w:line="560" w:lineRule="exact"/>
        <w:jc w:val="center"/>
        <w:rPr>
          <w:rFonts w:eastAsia="方正小标宋_GBK"/>
          <w:sz w:val="36"/>
          <w:szCs w:val="36"/>
        </w:rPr>
      </w:pPr>
      <w:r>
        <w:rPr>
          <w:rFonts w:eastAsia="方正小标宋_GBK"/>
          <w:sz w:val="36"/>
          <w:szCs w:val="36"/>
        </w:rPr>
        <w:t>出口前冷处理操作程序</w:t>
      </w:r>
    </w:p>
    <w:p>
      <w:pPr>
        <w:pStyle w:val="21"/>
        <w:tabs>
          <w:tab w:val="left" w:pos="2678"/>
        </w:tabs>
        <w:adjustRightInd w:val="0"/>
        <w:snapToGrid w:val="0"/>
        <w:spacing w:beforeLines="0" w:before="0" w:afterLines="0" w:after="0" w:line="560" w:lineRule="exact"/>
        <w:ind w:firstLineChars="200" w:firstLine="720"/>
        <w:jc w:val="both"/>
        <w:rPr>
          <w:rFonts w:ascii="Times New Roman" w:eastAsia="方正仿宋_GBK" w:cs="Times New Roman" w:hAnsi="Times New Roman"/>
          <w:sz w:val="36"/>
          <w:szCs w:val="36"/>
        </w:rPr>
      </w:pPr>
    </w:p>
    <w:p>
      <w:pPr>
        <w:adjustRightInd w:val="0"/>
        <w:snapToGrid w:val="0"/>
        <w:spacing w:after="0" w:line="560" w:lineRule="exact"/>
        <w:ind w:firstLineChars="200" w:firstLine="640"/>
        <w:jc w:val="both"/>
        <w:rPr>
          <w:rFonts w:ascii="方正黑体_GBK" w:eastAsia="方正黑体_GBK" w:cs="方正黑体_GBK"/>
          <w:sz w:val="32"/>
          <w:szCs w:val="32"/>
        </w:rPr>
      </w:pPr>
      <w:r>
        <w:rPr>
          <w:rFonts w:ascii="方正黑体_GBK" w:eastAsia="方正黑体_GBK" w:cs="方正黑体_GBK" w:hint="eastAsia"/>
          <w:sz w:val="32"/>
          <w:szCs w:val="32"/>
        </w:rPr>
        <w:t>一、冷处理设施</w:t>
      </w:r>
    </w:p>
    <w:p>
      <w:pPr>
        <w:adjustRightInd w:val="0"/>
        <w:snapToGrid w:val="0"/>
        <w:spacing w:after="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（一）装运前冷处理只能在</w:t>
      </w:r>
      <w:r>
        <w:rPr>
          <w:rFonts w:ascii="Times New Roman" w:eastAsia="方正仿宋_GBK" w:cs="Times New Roman" w:hAnsi="Times New Roman"/>
          <w:color w:val="000000"/>
          <w:sz w:val="32"/>
          <w:szCs w:val="32"/>
        </w:rPr>
        <w:t>伊方</w:t>
      </w:r>
      <w:r>
        <w:rPr>
          <w:rFonts w:ascii="Times New Roman" w:eastAsia="方正仿宋_GBK" w:cs="Times New Roman" w:hAnsi="Times New Roman"/>
          <w:sz w:val="32"/>
          <w:szCs w:val="32"/>
        </w:rPr>
        <w:t>批准的冷处理设施内进行。</w:t>
      </w:r>
    </w:p>
    <w:p>
      <w:pPr>
        <w:adjustRightInd w:val="0"/>
        <w:snapToGrid w:val="0"/>
        <w:spacing w:after="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（二）伊方或其授权人员负责确保出口商使用的冷处理设施符合标准且具有能使水果达到和维持所需温度的制冷设备。</w:t>
      </w:r>
    </w:p>
    <w:p>
      <w:pPr>
        <w:adjustRightInd w:val="0"/>
        <w:snapToGrid w:val="0"/>
        <w:spacing w:after="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（三）伊方或其授权人员将保留批准用于输华鲜食猕猴桃装运前处理的冷处理设施的注册文件。该文件包括说明以下内容：</w:t>
      </w:r>
    </w:p>
    <w:p>
      <w:pPr>
        <w:pStyle w:val="24"/>
        <w:widowControl w:val="0"/>
        <w:adjustRightInd w:val="0"/>
        <w:snapToGrid w:val="0"/>
        <w:spacing w:before="0" w:line="560" w:lineRule="exact"/>
        <w:ind w:firstLineChars="200" w:firstLine="640"/>
        <w:jc w:val="both"/>
        <w:rPr>
          <w:rFonts w:eastAsia="方正仿宋_GBK"/>
          <w:sz w:val="32"/>
          <w:szCs w:val="32"/>
        </w:rPr>
      </w:pPr>
      <w:r>
        <w:rPr>
          <w:rFonts w:eastAsia="方正仿宋_GBK"/>
          <w:sz w:val="32"/>
          <w:szCs w:val="32"/>
        </w:rPr>
        <w:t>1</w:t>
      </w:r>
      <w:r>
        <w:rPr>
          <w:rFonts w:ascii="Times New Roman" w:eastAsia="方正仿宋_GBK" w:hAnsi="Times New Roman"/>
          <w:sz w:val="32"/>
          <w:szCs w:val="32"/>
        </w:rPr>
        <w:t>．</w:t>
      </w:r>
      <w:r>
        <w:rPr>
          <w:rFonts w:eastAsia="方正仿宋_GBK"/>
          <w:sz w:val="32"/>
          <w:szCs w:val="32"/>
        </w:rPr>
        <w:t>所有设施的位置及构建计划，包括所有者/操作者的详细联系方式；</w:t>
      </w:r>
    </w:p>
    <w:p>
      <w:pPr>
        <w:pStyle w:val="24"/>
        <w:widowControl w:val="0"/>
        <w:tabs>
          <w:tab w:val="left" w:pos="820"/>
        </w:tabs>
        <w:adjustRightInd w:val="0"/>
        <w:snapToGrid w:val="0"/>
        <w:spacing w:before="0" w:line="560" w:lineRule="exact"/>
        <w:ind w:firstLineChars="200" w:firstLine="640"/>
        <w:jc w:val="both"/>
        <w:rPr>
          <w:rFonts w:eastAsia="方正仿宋_GBK"/>
          <w:sz w:val="32"/>
          <w:szCs w:val="32"/>
        </w:rPr>
      </w:pPr>
      <w:r>
        <w:rPr>
          <w:rFonts w:eastAsia="方正仿宋_GBK"/>
          <w:sz w:val="32"/>
          <w:szCs w:val="32"/>
        </w:rPr>
        <w:t>2</w:t>
      </w:r>
      <w:r>
        <w:rPr>
          <w:rFonts w:ascii="Times New Roman" w:eastAsia="方正仿宋_GBK" w:hAnsi="Times New Roman"/>
          <w:sz w:val="32"/>
          <w:szCs w:val="32"/>
        </w:rPr>
        <w:t>．</w:t>
      </w:r>
      <w:r>
        <w:rPr>
          <w:rFonts w:eastAsia="方正仿宋_GBK"/>
          <w:sz w:val="32"/>
          <w:szCs w:val="32"/>
        </w:rPr>
        <w:t>设施的尺寸及容量；</w:t>
      </w:r>
    </w:p>
    <w:p>
      <w:pPr>
        <w:pStyle w:val="24"/>
        <w:widowControl w:val="0"/>
        <w:adjustRightInd w:val="0"/>
        <w:snapToGrid w:val="0"/>
        <w:spacing w:before="0" w:line="560" w:lineRule="exact"/>
        <w:ind w:firstLineChars="200" w:firstLine="640"/>
        <w:jc w:val="both"/>
        <w:rPr>
          <w:rFonts w:eastAsia="方正仿宋_GBK"/>
          <w:sz w:val="32"/>
          <w:szCs w:val="32"/>
        </w:rPr>
      </w:pPr>
      <w:r>
        <w:rPr>
          <w:rFonts w:eastAsia="方正仿宋_GBK"/>
          <w:sz w:val="32"/>
          <w:szCs w:val="32"/>
        </w:rPr>
        <w:t>3</w:t>
      </w:r>
      <w:r>
        <w:rPr>
          <w:rFonts w:ascii="Times New Roman" w:eastAsia="方正仿宋_GBK" w:hAnsi="Times New Roman"/>
          <w:sz w:val="32"/>
          <w:szCs w:val="32"/>
        </w:rPr>
        <w:t>．</w:t>
      </w:r>
      <w:r>
        <w:rPr>
          <w:rFonts w:eastAsia="方正仿宋_GBK"/>
          <w:sz w:val="32"/>
          <w:szCs w:val="32"/>
        </w:rPr>
        <w:t>墙壁、天花板和地板的隔热类型；</w:t>
      </w:r>
    </w:p>
    <w:p>
      <w:pPr>
        <w:pStyle w:val="24"/>
        <w:widowControl w:val="0"/>
        <w:adjustRightInd w:val="0"/>
        <w:snapToGrid w:val="0"/>
        <w:spacing w:before="0" w:line="560" w:lineRule="exact"/>
        <w:ind w:firstLineChars="200" w:firstLine="640"/>
        <w:jc w:val="both"/>
        <w:rPr>
          <w:rFonts w:eastAsia="方正仿宋_GBK"/>
          <w:sz w:val="32"/>
          <w:szCs w:val="32"/>
        </w:rPr>
      </w:pPr>
      <w:r>
        <w:rPr>
          <w:rFonts w:eastAsia="方正仿宋_GBK"/>
          <w:sz w:val="32"/>
          <w:szCs w:val="32"/>
        </w:rPr>
        <w:t>4</w:t>
      </w:r>
      <w:r>
        <w:rPr>
          <w:rFonts w:ascii="Times New Roman" w:eastAsia="方正仿宋_GBK" w:hAnsi="Times New Roman"/>
          <w:sz w:val="32"/>
          <w:szCs w:val="32"/>
        </w:rPr>
        <w:t>．</w:t>
      </w:r>
      <w:r>
        <w:rPr>
          <w:rFonts w:eastAsia="方正仿宋_GBK"/>
          <w:sz w:val="32"/>
          <w:szCs w:val="32"/>
        </w:rPr>
        <w:t>制冷压缩机及蒸发器/空气循环系统的牌子、样式、类型和容量等；</w:t>
      </w:r>
    </w:p>
    <w:p>
      <w:pPr>
        <w:pStyle w:val="24"/>
        <w:widowControl w:val="0"/>
        <w:adjustRightInd w:val="0"/>
        <w:snapToGrid w:val="0"/>
        <w:spacing w:before="0" w:line="560" w:lineRule="exact"/>
        <w:ind w:firstLineChars="200" w:firstLine="640"/>
        <w:jc w:val="both"/>
        <w:rPr>
          <w:rFonts w:eastAsia="方正仿宋_GBK"/>
          <w:sz w:val="32"/>
          <w:szCs w:val="32"/>
        </w:rPr>
      </w:pPr>
      <w:r>
        <w:rPr>
          <w:rFonts w:eastAsia="方正仿宋_GBK"/>
          <w:sz w:val="32"/>
          <w:szCs w:val="32"/>
        </w:rPr>
        <w:t>5</w:t>
      </w:r>
      <w:r>
        <w:rPr>
          <w:rFonts w:ascii="Times New Roman" w:eastAsia="方正仿宋_GBK" w:hAnsi="Times New Roman"/>
          <w:sz w:val="32"/>
          <w:szCs w:val="32"/>
        </w:rPr>
        <w:t>．</w:t>
      </w:r>
      <w:r>
        <w:rPr>
          <w:rFonts w:eastAsia="方正仿宋_GBK"/>
          <w:sz w:val="32"/>
          <w:szCs w:val="32"/>
        </w:rPr>
        <w:t>设备的温度范围、除霜循环控制和任何集成的温度记录设备的规格及详细资料等。</w:t>
      </w:r>
    </w:p>
    <w:p>
      <w:pPr>
        <w:pStyle w:val="24"/>
        <w:widowControl w:val="0"/>
        <w:adjustRightInd w:val="0"/>
        <w:snapToGrid w:val="0"/>
        <w:spacing w:before="0" w:line="560" w:lineRule="exact"/>
        <w:ind w:firstLineChars="200" w:firstLine="640"/>
        <w:jc w:val="both"/>
        <w:rPr>
          <w:rFonts w:eastAsia="方正仿宋_GBK"/>
          <w:sz w:val="32"/>
          <w:szCs w:val="32"/>
        </w:rPr>
      </w:pPr>
      <w:r>
        <w:rPr>
          <w:rFonts w:eastAsia="方正仿宋_GBK"/>
          <w:sz w:val="32"/>
          <w:szCs w:val="32"/>
        </w:rPr>
        <w:t>（四）在每个鲜食猕猴桃季节开始之前，伊方将向中方提交当前注册的冷处理设施的名称和地址。</w:t>
      </w:r>
    </w:p>
    <w:p>
      <w:pPr>
        <w:adjustRightInd w:val="0"/>
        <w:snapToGrid w:val="0"/>
        <w:spacing w:after="0" w:line="560" w:lineRule="exact"/>
        <w:ind w:firstLineChars="200" w:firstLine="640"/>
        <w:jc w:val="both"/>
        <w:rPr>
          <w:rFonts w:ascii="方正黑体_GBK" w:eastAsia="方正黑体_GBK" w:cs="方正黑体_GBK"/>
          <w:bCs/>
          <w:sz w:val="32"/>
          <w:szCs w:val="32"/>
        </w:rPr>
      </w:pPr>
      <w:r>
        <w:rPr>
          <w:rFonts w:ascii="方正黑体_GBK" w:eastAsia="方正黑体_GBK" w:cs="方正黑体_GBK" w:hint="eastAsia"/>
          <w:bCs/>
          <w:sz w:val="32"/>
          <w:szCs w:val="32"/>
        </w:rPr>
        <w:t>二、记录仪的类型</w:t>
      </w:r>
    </w:p>
    <w:p>
      <w:pPr>
        <w:pStyle w:val="24"/>
        <w:widowControl w:val="0"/>
        <w:adjustRightInd w:val="0"/>
        <w:snapToGrid w:val="0"/>
        <w:spacing w:before="0" w:line="560" w:lineRule="exact"/>
        <w:ind w:firstLineChars="200" w:firstLine="640"/>
        <w:jc w:val="both"/>
        <w:rPr>
          <w:rFonts w:eastAsia="方正仿宋_GBK"/>
          <w:sz w:val="32"/>
          <w:szCs w:val="32"/>
        </w:rPr>
      </w:pPr>
      <w:r>
        <w:rPr>
          <w:rFonts w:eastAsia="方正仿宋_GBK"/>
          <w:sz w:val="32"/>
          <w:szCs w:val="32"/>
        </w:rPr>
        <w:t>伊方或其授权人员应确保采用适当的温度探针和温度记录仪：</w:t>
      </w:r>
    </w:p>
    <w:p>
      <w:pPr>
        <w:adjustRightInd w:val="0"/>
        <w:snapToGrid w:val="0"/>
        <w:spacing w:after="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（一）探针应在-3.0°C到+3.0°C之间，精确到±0.15°C；</w:t>
      </w:r>
    </w:p>
    <w:p>
      <w:pPr>
        <w:adjustRightInd w:val="0"/>
        <w:snapToGrid w:val="0"/>
        <w:spacing w:after="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（二）有足够数量的探针；</w:t>
      </w:r>
    </w:p>
    <w:p>
      <w:pPr>
        <w:adjustRightInd w:val="0"/>
        <w:snapToGrid w:val="0"/>
        <w:spacing w:after="0" w:line="56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sz w:val="32"/>
          <w:szCs w:val="32"/>
        </w:rPr>
        <w:t>（三）能够记录并储存处理过程的数据；</w:t>
      </w:r>
    </w:p>
    <w:p>
      <w:pPr>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（四）能够每小时至少记录一次所有探针的温度，记录显示应满足探针要求的精度</w:t>
      </w:r>
      <w:r>
        <w:rPr>
          <w:rFonts w:ascii="Times New Roman" w:eastAsia="方正仿宋_GBK" w:cs="Times New Roman" w:hAnsi="Times New Roman"/>
          <w:sz w:val="32"/>
          <w:szCs w:val="32"/>
        </w:rPr>
        <w:t>，该数据信息由伊方或其授权人员查验；</w:t>
      </w:r>
    </w:p>
    <w:p>
      <w:pPr>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（五）打印出的温度记录，应有对应每个探针记录的时间和温度，</w:t>
      </w:r>
      <w:r>
        <w:rPr>
          <w:rFonts w:ascii="Times New Roman" w:eastAsia="方正仿宋_GBK" w:cs="Times New Roman" w:hAnsi="Times New Roman"/>
          <w:sz w:val="32"/>
          <w:szCs w:val="32"/>
        </w:rPr>
        <w:t>并注明记录仪和集装箱的识别号的结果</w:t>
      </w:r>
      <w:r>
        <w:rPr>
          <w:rFonts w:ascii="Times New Roman" w:eastAsia="方正仿宋_GBK" w:cs="Times New Roman" w:hAnsi="Times New Roman"/>
          <w:color w:val="000000"/>
          <w:sz w:val="32"/>
          <w:szCs w:val="32"/>
        </w:rPr>
        <w:t>。</w:t>
      </w:r>
    </w:p>
    <w:p>
      <w:pPr>
        <w:pStyle w:val="24"/>
        <w:widowControl w:val="0"/>
        <w:adjustRightInd w:val="0"/>
        <w:snapToGrid w:val="0"/>
        <w:spacing w:before="0" w:line="560" w:lineRule="exact"/>
        <w:ind w:firstLineChars="200" w:firstLine="640"/>
        <w:jc w:val="both"/>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三、温度的校正</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校正必须用由</w:t>
      </w:r>
      <w:r>
        <w:rPr>
          <w:rFonts w:eastAsia="方正仿宋_GBK"/>
          <w:sz w:val="32"/>
          <w:szCs w:val="32"/>
        </w:rPr>
        <w:t>伊方</w:t>
      </w:r>
      <w:r>
        <w:rPr>
          <w:rFonts w:eastAsia="方正仿宋_GBK"/>
          <w:color w:val="000000"/>
          <w:sz w:val="32"/>
          <w:szCs w:val="32"/>
        </w:rPr>
        <w:t>批准的标准温度计在碎冰和蒸馏水混合物中进行。</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（一）任何读数超出0°C±0.3°C的探针都必须更换；</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（二）</w:t>
      </w:r>
      <w:r>
        <w:rPr>
          <w:rFonts w:eastAsia="方正仿宋_GBK"/>
          <w:sz w:val="32"/>
          <w:szCs w:val="32"/>
        </w:rPr>
        <w:t>在处理完成时，伊方或其授权人员将用此前提及的方法验证果温探针的校正值。</w:t>
      </w:r>
    </w:p>
    <w:p>
      <w:pPr>
        <w:pStyle w:val="24"/>
        <w:widowControl w:val="0"/>
        <w:adjustRightInd w:val="0"/>
        <w:snapToGrid w:val="0"/>
        <w:spacing w:before="0" w:line="560" w:lineRule="exact"/>
        <w:ind w:firstLineChars="200" w:firstLine="640"/>
        <w:jc w:val="both"/>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四、温度探针的安插</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（一）</w:t>
      </w:r>
      <w:r>
        <w:rPr>
          <w:rFonts w:eastAsia="方正仿宋_GBK"/>
          <w:sz w:val="32"/>
          <w:szCs w:val="32"/>
        </w:rPr>
        <w:t>上托盘的鲜食猕猴桃必须在伊方</w:t>
      </w:r>
      <w:r>
        <w:rPr>
          <w:rFonts w:eastAsia="方正仿宋_GBK"/>
          <w:color w:val="000000"/>
          <w:sz w:val="32"/>
          <w:szCs w:val="32"/>
        </w:rPr>
        <w:t>或</w:t>
      </w:r>
      <w:r>
        <w:rPr>
          <w:rFonts w:eastAsia="方正仿宋_GBK"/>
          <w:sz w:val="32"/>
          <w:szCs w:val="32"/>
        </w:rPr>
        <w:t>其</w:t>
      </w:r>
      <w:r>
        <w:rPr>
          <w:rFonts w:eastAsia="方正仿宋_GBK"/>
          <w:color w:val="000000"/>
          <w:sz w:val="32"/>
          <w:szCs w:val="32"/>
        </w:rPr>
        <w:t>授权人员</w:t>
      </w:r>
      <w:r>
        <w:rPr>
          <w:rFonts w:eastAsia="方正仿宋_GBK"/>
          <w:sz w:val="32"/>
          <w:szCs w:val="32"/>
        </w:rPr>
        <w:t>的监管下预冷，并装入冷处理室</w:t>
      </w:r>
      <w:r>
        <w:rPr>
          <w:rFonts w:eastAsia="方正仿宋_GBK"/>
          <w:color w:val="000000"/>
          <w:sz w:val="32"/>
          <w:szCs w:val="32"/>
        </w:rPr>
        <w:t>。</w:t>
      </w:r>
    </w:p>
    <w:p>
      <w:pPr>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eastAsia="方正仿宋_GBK"/>
          <w:color w:val="000000"/>
          <w:sz w:val="32"/>
          <w:szCs w:val="32"/>
        </w:rPr>
        <w:t>（二）</w:t>
      </w:r>
      <w:r>
        <w:rPr>
          <w:rFonts w:ascii="Times New Roman" w:eastAsia="方正仿宋_GBK" w:cs="Times New Roman" w:hAnsi="Times New Roman"/>
          <w:color w:val="000000"/>
          <w:sz w:val="32"/>
          <w:szCs w:val="32"/>
        </w:rPr>
        <w:t>至少用2个温度探针（分别在出风口和回风口）测量室温，</w:t>
      </w:r>
      <w:r>
        <w:rPr>
          <w:rFonts w:ascii="Times New Roman" w:eastAsia="方正仿宋_GBK" w:cs="Times New Roman" w:hAnsi="Times New Roman"/>
          <w:sz w:val="32"/>
          <w:szCs w:val="32"/>
        </w:rPr>
        <w:t>至少要安插以下4个探针测量鲜果的温度</w:t>
      </w:r>
      <w:r>
        <w:rPr>
          <w:rFonts w:ascii="Times New Roman" w:eastAsia="方正仿宋_GBK" w:cs="Times New Roman" w:hAnsi="Times New Roman"/>
          <w:color w:val="000000"/>
          <w:sz w:val="32"/>
          <w:szCs w:val="32"/>
        </w:rPr>
        <w:t>：</w:t>
      </w:r>
    </w:p>
    <w:p>
      <w:pPr>
        <w:pStyle w:val="24"/>
        <w:widowControl w:val="0"/>
        <w:tabs>
          <w:tab w:val="left" w:pos="567"/>
        </w:tabs>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1</w:t>
      </w:r>
      <w:r>
        <w:rPr>
          <w:rFonts w:ascii="Times New Roman" w:eastAsia="方正仿宋_GBK" w:hAnsi="Times New Roman"/>
          <w:color w:val="000000"/>
          <w:sz w:val="32"/>
          <w:szCs w:val="32"/>
        </w:rPr>
        <w:t>．</w:t>
      </w:r>
      <w:r>
        <w:rPr>
          <w:rFonts w:eastAsia="方正仿宋_GBK"/>
          <w:color w:val="000000"/>
          <w:sz w:val="32"/>
          <w:szCs w:val="32"/>
        </w:rPr>
        <w:t>一个位于冷库中部所装货物的中心；</w:t>
      </w:r>
    </w:p>
    <w:p>
      <w:pPr>
        <w:pStyle w:val="24"/>
        <w:widowControl w:val="0"/>
        <w:tabs>
          <w:tab w:val="left" w:pos="567"/>
        </w:tabs>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2</w:t>
      </w:r>
      <w:r>
        <w:rPr>
          <w:rFonts w:ascii="Times New Roman" w:eastAsia="方正仿宋_GBK" w:hAnsi="Times New Roman"/>
          <w:color w:val="000000"/>
          <w:sz w:val="32"/>
          <w:szCs w:val="32"/>
        </w:rPr>
        <w:t>．</w:t>
      </w:r>
      <w:r>
        <w:rPr>
          <w:rFonts w:eastAsia="方正仿宋_GBK"/>
          <w:color w:val="000000"/>
          <w:sz w:val="32"/>
          <w:szCs w:val="32"/>
        </w:rPr>
        <w:t>一个位于冷库中部所装货物顶层的边角；</w:t>
      </w:r>
    </w:p>
    <w:p>
      <w:pPr>
        <w:pStyle w:val="24"/>
        <w:widowControl w:val="0"/>
        <w:tabs>
          <w:tab w:val="left" w:pos="567"/>
        </w:tabs>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3</w:t>
      </w:r>
      <w:r>
        <w:rPr>
          <w:rFonts w:ascii="Times New Roman" w:eastAsia="方正仿宋_GBK" w:hAnsi="Times New Roman"/>
          <w:color w:val="000000"/>
          <w:sz w:val="32"/>
          <w:szCs w:val="32"/>
        </w:rPr>
        <w:t>．</w:t>
      </w:r>
      <w:r>
        <w:rPr>
          <w:rFonts w:eastAsia="方正仿宋_GBK"/>
          <w:color w:val="000000"/>
          <w:sz w:val="32"/>
          <w:szCs w:val="32"/>
        </w:rPr>
        <w:t>一个位于所装货物中部近回风口处；</w:t>
      </w:r>
    </w:p>
    <w:p>
      <w:pPr>
        <w:pStyle w:val="24"/>
        <w:widowControl w:val="0"/>
        <w:tabs>
          <w:tab w:val="left" w:pos="567"/>
        </w:tabs>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4</w:t>
      </w:r>
      <w:r>
        <w:rPr>
          <w:rFonts w:ascii="Times New Roman" w:eastAsia="方正仿宋_GBK" w:hAnsi="Times New Roman"/>
          <w:color w:val="000000"/>
          <w:sz w:val="32"/>
          <w:szCs w:val="32"/>
        </w:rPr>
        <w:t>．</w:t>
      </w:r>
      <w:r>
        <w:rPr>
          <w:rFonts w:eastAsia="方正仿宋_GBK"/>
          <w:color w:val="000000"/>
          <w:sz w:val="32"/>
          <w:szCs w:val="32"/>
        </w:rPr>
        <w:t>一个位于所装货物顶层的边角近回风口处。</w:t>
      </w:r>
    </w:p>
    <w:p>
      <w:pPr>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（三）探针的安插和与记录仪的连接须在</w:t>
      </w:r>
      <w:r>
        <w:rPr>
          <w:rFonts w:ascii="Times New Roman" w:eastAsia="方正仿宋_GBK" w:cs="Times New Roman" w:hAnsi="Times New Roman"/>
          <w:sz w:val="32"/>
          <w:szCs w:val="32"/>
        </w:rPr>
        <w:t>伊方或其</w:t>
      </w:r>
      <w:r>
        <w:rPr>
          <w:rFonts w:ascii="Times New Roman" w:eastAsia="方正仿宋_GBK" w:cs="Times New Roman" w:hAnsi="Times New Roman"/>
          <w:color w:val="000000"/>
          <w:sz w:val="32"/>
          <w:szCs w:val="32"/>
        </w:rPr>
        <w:t>授权人员的监管和指导下完成。</w:t>
      </w:r>
    </w:p>
    <w:p>
      <w:pPr>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（四）可以在任何时间启动记录仪记录，然而只有所有的果温探针都达到指定的温度时才能开始计算处理时间。</w:t>
      </w:r>
    </w:p>
    <w:p>
      <w:pPr>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（五）当只用最小数量的探针时，如果有任何探针连续超出4小时失效，则该处理无效，必须重新开始。</w:t>
      </w:r>
    </w:p>
    <w:p>
      <w:pPr>
        <w:adjustRightInd w:val="0"/>
        <w:snapToGrid w:val="0"/>
        <w:spacing w:after="0" w:line="560" w:lineRule="exact"/>
        <w:ind w:firstLineChars="200" w:firstLine="640"/>
        <w:jc w:val="both"/>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五、处理结果的逐步审核</w:t>
      </w:r>
    </w:p>
    <w:p>
      <w:pPr>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（一）如果处理记录表明各处理参数已符合要求，</w:t>
      </w:r>
      <w:r>
        <w:rPr>
          <w:rFonts w:ascii="Times New Roman" w:eastAsia="方正仿宋_GBK" w:cs="Times New Roman" w:hAnsi="Times New Roman"/>
          <w:sz w:val="32"/>
          <w:szCs w:val="32"/>
        </w:rPr>
        <w:t>伊方</w:t>
      </w:r>
      <w:r>
        <w:rPr>
          <w:rFonts w:ascii="Times New Roman" w:eastAsia="方正仿宋_GBK" w:cs="Times New Roman" w:hAnsi="Times New Roman"/>
          <w:color w:val="000000"/>
          <w:sz w:val="32"/>
          <w:szCs w:val="32"/>
        </w:rPr>
        <w:t>可以授权结束处理。如果探针也按第三款条规定通过了校正，则可认定为该处理已成功完成。</w:t>
      </w:r>
    </w:p>
    <w:p>
      <w:pPr>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（二）在水果从处理室中移出之前，应对探针进行校正。</w:t>
      </w:r>
    </w:p>
    <w:p>
      <w:pPr>
        <w:pStyle w:val="24"/>
        <w:widowControl w:val="0"/>
        <w:adjustRightInd w:val="0"/>
        <w:snapToGrid w:val="0"/>
        <w:spacing w:before="0" w:line="560" w:lineRule="exact"/>
        <w:ind w:firstLineChars="200" w:firstLine="640"/>
        <w:jc w:val="both"/>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六、处理结果的确认</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（一）打印输出的温度记录能表明要求的冷处理已完成。</w:t>
      </w:r>
    </w:p>
    <w:p>
      <w:pPr>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eastAsia="方正仿宋_GBK"/>
          <w:color w:val="000000"/>
          <w:sz w:val="32"/>
          <w:szCs w:val="32"/>
        </w:rPr>
        <w:t>（二）</w:t>
      </w:r>
      <w:r>
        <w:rPr>
          <w:rFonts w:ascii="Times New Roman" w:eastAsia="方正仿宋_GBK" w:cs="Times New Roman" w:hAnsi="Times New Roman"/>
          <w:sz w:val="32"/>
          <w:szCs w:val="32"/>
        </w:rPr>
        <w:t>伊方</w:t>
      </w:r>
      <w:r>
        <w:rPr>
          <w:rFonts w:ascii="Times New Roman" w:eastAsia="方正仿宋_GBK" w:cs="Times New Roman" w:hAnsi="Times New Roman"/>
          <w:color w:val="000000"/>
          <w:sz w:val="32"/>
          <w:szCs w:val="32"/>
        </w:rPr>
        <w:t>或</w:t>
      </w:r>
      <w:r>
        <w:rPr>
          <w:rFonts w:ascii="Times New Roman" w:eastAsia="方正仿宋_GBK" w:cs="Times New Roman" w:hAnsi="Times New Roman"/>
          <w:sz w:val="32"/>
          <w:szCs w:val="32"/>
        </w:rPr>
        <w:t>其</w:t>
      </w:r>
      <w:r>
        <w:rPr>
          <w:rFonts w:ascii="Times New Roman" w:eastAsia="方正仿宋_GBK" w:cs="Times New Roman" w:hAnsi="Times New Roman"/>
          <w:color w:val="000000"/>
          <w:sz w:val="32"/>
          <w:szCs w:val="32"/>
        </w:rPr>
        <w:t>授权人员必须在确认处理成功之前保存上述记录和统计值。应中方要求，提供上述记录以供审核。</w:t>
      </w:r>
    </w:p>
    <w:p>
      <w:pPr>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eastAsia="方正仿宋_GBK"/>
          <w:color w:val="000000"/>
          <w:sz w:val="32"/>
          <w:szCs w:val="32"/>
        </w:rPr>
        <w:t>（三）</w:t>
      </w:r>
      <w:r>
        <w:rPr>
          <w:rFonts w:ascii="Times New Roman" w:eastAsia="方正仿宋_GBK" w:cs="Times New Roman" w:hAnsi="Times New Roman"/>
          <w:color w:val="000000"/>
          <w:sz w:val="32"/>
          <w:szCs w:val="32"/>
        </w:rPr>
        <w:t>如果处理未能达到所需的冷处理要求，在符合以下条件下，可以重新连接记录仪，并继续处理：</w:t>
      </w:r>
    </w:p>
    <w:p>
      <w:pPr>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sz w:val="32"/>
          <w:szCs w:val="32"/>
        </w:rPr>
        <w:t>1．伊方或其授权人员确认本公告所要求的处理条件仍满足；</w:t>
      </w:r>
    </w:p>
    <w:p>
      <w:pPr>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sz w:val="32"/>
          <w:szCs w:val="32"/>
        </w:rPr>
        <w:t>2．</w:t>
      </w:r>
      <w:r>
        <w:rPr>
          <w:rFonts w:ascii="Times New Roman" w:eastAsia="方正仿宋_GBK" w:cs="Times New Roman" w:hAnsi="Times New Roman"/>
          <w:color w:val="000000"/>
          <w:sz w:val="32"/>
          <w:szCs w:val="32"/>
        </w:rPr>
        <w:t>停止的时间与重新开始的时间间隔在24小时之内。</w:t>
      </w:r>
    </w:p>
    <w:p>
      <w:pPr>
        <w:adjustRightInd w:val="0"/>
        <w:snapToGrid w:val="0"/>
        <w:spacing w:after="0" w:line="560" w:lineRule="exact"/>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上述两种情况下，可从记录仪重新连接时起继续采集数据。</w:t>
      </w:r>
    </w:p>
    <w:p>
      <w:pPr>
        <w:pStyle w:val="24"/>
        <w:widowControl w:val="0"/>
        <w:adjustRightInd w:val="0"/>
        <w:snapToGrid w:val="0"/>
        <w:spacing w:before="0" w:line="560" w:lineRule="exact"/>
        <w:ind w:firstLineChars="200" w:firstLine="640"/>
        <w:jc w:val="both"/>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七、装入集装箱</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（一）装货前集装箱必须经</w:t>
      </w:r>
      <w:r>
        <w:rPr>
          <w:rFonts w:eastAsia="方正仿宋_GBK"/>
          <w:sz w:val="32"/>
          <w:szCs w:val="32"/>
        </w:rPr>
        <w:t>伊方</w:t>
      </w:r>
      <w:r>
        <w:rPr>
          <w:rFonts w:eastAsia="方正仿宋_GBK"/>
          <w:color w:val="000000"/>
          <w:sz w:val="32"/>
          <w:szCs w:val="32"/>
        </w:rPr>
        <w:t>或</w:t>
      </w:r>
      <w:r>
        <w:rPr>
          <w:rFonts w:eastAsia="方正仿宋_GBK"/>
          <w:sz w:val="32"/>
          <w:szCs w:val="32"/>
        </w:rPr>
        <w:t>其</w:t>
      </w:r>
      <w:r>
        <w:rPr>
          <w:rFonts w:eastAsia="方正仿宋_GBK"/>
          <w:color w:val="000000"/>
          <w:sz w:val="32"/>
          <w:szCs w:val="32"/>
        </w:rPr>
        <w:t>授权人员查验，以确保不带有害生物，并在入口处加以遮挡以防有害生物进入。</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（二）鲜食猕猴桃应在防虫的建筑物内装箱，或在冷藏室入口和箱体间用防虫材料围住。</w:t>
      </w:r>
    </w:p>
    <w:p>
      <w:pPr>
        <w:pStyle w:val="24"/>
        <w:widowControl w:val="0"/>
        <w:adjustRightInd w:val="0"/>
        <w:snapToGrid w:val="0"/>
        <w:spacing w:before="0" w:line="560" w:lineRule="exact"/>
        <w:ind w:firstLineChars="200" w:firstLine="640"/>
        <w:jc w:val="both"/>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八、集装箱的封识</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（一）由</w:t>
      </w:r>
      <w:r>
        <w:rPr>
          <w:rFonts w:eastAsia="方正仿宋_GBK"/>
          <w:sz w:val="32"/>
          <w:szCs w:val="32"/>
        </w:rPr>
        <w:t>伊方</w:t>
      </w:r>
      <w:r>
        <w:rPr>
          <w:rFonts w:eastAsia="方正仿宋_GBK"/>
          <w:color w:val="000000"/>
          <w:sz w:val="32"/>
          <w:szCs w:val="32"/>
        </w:rPr>
        <w:t>或</w:t>
      </w:r>
      <w:r>
        <w:rPr>
          <w:rFonts w:eastAsia="方正仿宋_GBK"/>
          <w:sz w:val="32"/>
          <w:szCs w:val="32"/>
        </w:rPr>
        <w:t>其</w:t>
      </w:r>
      <w:r>
        <w:rPr>
          <w:rFonts w:eastAsia="方正仿宋_GBK"/>
          <w:color w:val="000000"/>
          <w:sz w:val="32"/>
          <w:szCs w:val="32"/>
        </w:rPr>
        <w:t>授权人员用有编码的封识将装上货物的集装箱封识，封识号码应在植物检疫证书上注明。</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（二）封识只能在中国进境口岸由海关人员开启。</w:t>
      </w:r>
    </w:p>
    <w:p>
      <w:pPr>
        <w:pStyle w:val="24"/>
        <w:widowControl w:val="0"/>
        <w:adjustRightInd w:val="0"/>
        <w:snapToGrid w:val="0"/>
        <w:spacing w:before="0" w:line="560" w:lineRule="exact"/>
        <w:ind w:firstLineChars="200" w:firstLine="640"/>
        <w:jc w:val="both"/>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九、未立即装箱的水果的贮存</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处理过的水果未立即装箱可以储藏，但应由</w:t>
      </w:r>
      <w:r>
        <w:rPr>
          <w:rFonts w:eastAsia="方正仿宋_GBK"/>
          <w:sz w:val="32"/>
          <w:szCs w:val="32"/>
        </w:rPr>
        <w:t>伊方</w:t>
      </w:r>
      <w:r>
        <w:rPr>
          <w:rFonts w:eastAsia="方正仿宋_GBK"/>
          <w:color w:val="000000"/>
          <w:sz w:val="32"/>
          <w:szCs w:val="32"/>
        </w:rPr>
        <w:t>或</w:t>
      </w:r>
      <w:r>
        <w:rPr>
          <w:rFonts w:eastAsia="方正仿宋_GBK"/>
          <w:sz w:val="32"/>
          <w:szCs w:val="32"/>
        </w:rPr>
        <w:t>其</w:t>
      </w:r>
      <w:r>
        <w:rPr>
          <w:rFonts w:eastAsia="方正仿宋_GBK"/>
          <w:color w:val="000000"/>
          <w:sz w:val="32"/>
          <w:szCs w:val="32"/>
        </w:rPr>
        <w:t>授权人员维持安全状况：</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1</w:t>
      </w:r>
      <w:r>
        <w:rPr>
          <w:rFonts w:ascii="Times New Roman" w:eastAsia="方正仿宋_GBK" w:hAnsi="Times New Roman"/>
          <w:color w:val="000000"/>
          <w:sz w:val="32"/>
          <w:szCs w:val="32"/>
        </w:rPr>
        <w:t>．</w:t>
      </w:r>
      <w:r>
        <w:rPr>
          <w:rFonts w:eastAsia="方正仿宋_GBK"/>
          <w:color w:val="000000"/>
          <w:sz w:val="32"/>
          <w:szCs w:val="32"/>
        </w:rPr>
        <w:t>如果水果储存在处理室内，则处理室的门必须封闭；</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2</w:t>
      </w:r>
      <w:r>
        <w:rPr>
          <w:rFonts w:ascii="Times New Roman" w:eastAsia="方正仿宋_GBK" w:hAnsi="Times New Roman"/>
          <w:color w:val="000000"/>
          <w:sz w:val="32"/>
          <w:szCs w:val="32"/>
        </w:rPr>
        <w:t>．</w:t>
      </w:r>
      <w:r>
        <w:rPr>
          <w:rFonts w:eastAsia="方正仿宋_GBK"/>
          <w:color w:val="000000"/>
          <w:sz w:val="32"/>
          <w:szCs w:val="32"/>
        </w:rPr>
        <w:t>如果要求将水果转移到另一储藏室内储存，则必须通过经</w:t>
      </w:r>
      <w:r>
        <w:rPr>
          <w:rFonts w:eastAsia="方正仿宋_GBK"/>
          <w:sz w:val="32"/>
          <w:szCs w:val="32"/>
        </w:rPr>
        <w:t>伊方</w:t>
      </w:r>
      <w:r>
        <w:rPr>
          <w:rFonts w:eastAsia="方正仿宋_GBK"/>
          <w:color w:val="000000"/>
          <w:sz w:val="32"/>
          <w:szCs w:val="32"/>
        </w:rPr>
        <w:t xml:space="preserve">批准的可靠方式转移，且另一储藏室内不得有其他水果； </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sz w:val="32"/>
          <w:szCs w:val="32"/>
        </w:rPr>
        <w:t>3</w:t>
      </w:r>
      <w:r>
        <w:rPr>
          <w:rFonts w:ascii="Times New Roman" w:eastAsia="方正仿宋_GBK" w:hAnsi="Times New Roman"/>
          <w:sz w:val="32"/>
          <w:szCs w:val="32"/>
        </w:rPr>
        <w:t>．</w:t>
      </w:r>
      <w:r>
        <w:rPr>
          <w:rFonts w:eastAsia="方正仿宋_GBK"/>
          <w:sz w:val="32"/>
          <w:szCs w:val="32"/>
        </w:rPr>
        <w:t>随后的装箱必须按照第七条的规定在伊方或其授权人员的监管下进行。</w:t>
      </w:r>
    </w:p>
    <w:p>
      <w:pPr>
        <w:pStyle w:val="24"/>
        <w:widowControl w:val="0"/>
        <w:adjustRightInd w:val="0"/>
        <w:snapToGrid w:val="0"/>
        <w:spacing w:before="0" w:line="560" w:lineRule="exact"/>
        <w:ind w:firstLineChars="200" w:firstLine="640"/>
        <w:jc w:val="both"/>
        <w:rPr>
          <w:rFonts w:ascii="方正黑体_GBK" w:eastAsia="方正黑体_GBK" w:cs="方正黑体_GBK"/>
          <w:color w:val="000000"/>
          <w:sz w:val="32"/>
          <w:szCs w:val="32"/>
        </w:rPr>
      </w:pPr>
      <w:r>
        <w:rPr>
          <w:rFonts w:ascii="方正黑体_GBK" w:eastAsia="方正黑体_GBK" w:cs="方正黑体_GBK" w:hint="eastAsia"/>
          <w:color w:val="000000"/>
          <w:sz w:val="32"/>
          <w:szCs w:val="32"/>
        </w:rPr>
        <w:t>十、植物检疫证书</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（一）出口前冷处理的温度和持续时间必须在植物检疫证书的处理栏内注明，并且同时标注处理设施和冷库的名称或编号。</w:t>
      </w:r>
    </w:p>
    <w:p>
      <w:pPr>
        <w:pStyle w:val="24"/>
        <w:widowControl w:val="0"/>
        <w:adjustRightInd w:val="0"/>
        <w:snapToGrid w:val="0"/>
        <w:spacing w:before="0" w:line="560" w:lineRule="exact"/>
        <w:ind w:firstLineChars="200" w:firstLine="640"/>
        <w:jc w:val="both"/>
        <w:rPr>
          <w:rFonts w:eastAsia="方正仿宋_GBK"/>
          <w:color w:val="000000"/>
          <w:sz w:val="32"/>
          <w:szCs w:val="32"/>
        </w:rPr>
      </w:pPr>
      <w:r>
        <w:rPr>
          <w:rFonts w:eastAsia="方正仿宋_GBK"/>
          <w:color w:val="000000"/>
          <w:sz w:val="32"/>
          <w:szCs w:val="32"/>
        </w:rPr>
        <w:t>（二）水果进境时，应提供植物检疫证书、</w:t>
      </w:r>
      <w:r>
        <w:rPr>
          <w:rFonts w:eastAsia="方正仿宋_GBK"/>
          <w:sz w:val="32"/>
          <w:szCs w:val="32"/>
        </w:rPr>
        <w:t>冷处理结果报告单以及果温探针校准记录</w:t>
      </w:r>
      <w:r>
        <w:rPr>
          <w:rFonts w:eastAsia="方正仿宋_GBK"/>
          <w:color w:val="000000"/>
          <w:sz w:val="32"/>
          <w:szCs w:val="32"/>
        </w:rPr>
        <w:t>。</w:t>
      </w:r>
    </w:p>
    <w:p/>
    <w:sectPr>
      <w:footerReference w:type="default" r:id="rId2"/>
      <w:footerReference w:type="even" r:id="rId3"/>
      <w:pgSz w:w="11907" w:h="16839"/>
      <w:pgMar w:top="1440" w:right="1800" w:bottom="1440" w:left="180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Calibri">
    <w:altName w:val="Times New Roman"/>
    <w:panose1 w:val="020F0502020204030204"/>
    <w:charset w:val="00"/>
    <w:family w:val="swiss"/>
    <w:pitch w:val="variable"/>
    <w:sig w:usb0="E4002EFF" w:usb1="C200247B" w:usb2="00000009" w:usb3="00000000" w:csb0="000001FF"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rPr>
        <w:rFonts w:ascii="Times New Roman" w:cs="Times New Roman" w:hAnsi="Times New Roman"/>
        <w:sz w:val="24"/>
        <w:szCs w:val="24"/>
      </w:rPr>
    </w:pPr>
    <w:r>
      <w:rPr>
        <w:rStyle w:val="18"/>
        <w:rFonts w:ascii="Times New Roman" w:cs="Times New Roman" w:hAnsi="Times New Roman"/>
        <w:sz w:val="24"/>
        <w:szCs w:val="24"/>
      </w:rPr>
      <w:t xml:space="preserve">— </w:t>
    </w:r>
    <w:r>
      <w:rPr>
        <w:rStyle w:val="18"/>
        <w:rFonts w:ascii="Times New Roman" w:cs="Times New Roman" w:hAnsi="Times New Roman"/>
        <w:sz w:val="24"/>
        <w:szCs w:val="24"/>
      </w:rPr>
      <w:fldChar w:fldCharType="begin"/>
    </w:r>
    <w:r>
      <w:rPr>
        <w:rStyle w:val="18"/>
        <w:rFonts w:ascii="Times New Roman" w:cs="Times New Roman" w:hAnsi="Times New Roman"/>
        <w:sz w:val="24"/>
        <w:szCs w:val="24"/>
      </w:rPr>
      <w:instrText>Page</w:instrText>
    </w:r>
    <w:r>
      <w:rPr>
        <w:rStyle w:val="18"/>
        <w:rFonts w:ascii="Times New Roman" w:cs="Times New Roman" w:hAnsi="Times New Roman"/>
        <w:sz w:val="24"/>
        <w:szCs w:val="24"/>
      </w:rPr>
      <w:fldChar w:fldCharType="separate"/>
    </w:r>
    <w:r>
      <w:rPr>
        <w:rStyle w:val="18"/>
        <w:rFonts w:ascii="Times New Roman" w:cs="Times New Roman" w:hAnsi="Times New Roman"/>
        <w:sz w:val="24"/>
        <w:szCs w:val="24"/>
      </w:rPr>
      <w:t>1</w:t>
    </w:r>
    <w:r>
      <w:rPr>
        <w:rStyle w:val="18"/>
        <w:rFonts w:ascii="Times New Roman" w:cs="Times New Roman" w:hAnsi="Times New Roman"/>
        <w:sz w:val="24"/>
        <w:szCs w:val="24"/>
      </w:rPr>
      <w:fldChar w:fldCharType="end"/>
    </w:r>
    <w:r>
      <w:rPr>
        <w:rStyle w:val="18"/>
        <w:rFonts w:ascii="Times New Roman" w:cs="Times New Roman" w:hAnsi="Times New Roman"/>
        <w:sz w:val="24"/>
        <w:szCs w:val="24"/>
      </w:rPr>
      <w:t xml:space="preserve"> —</w:t>
    </w:r>
  </w:p>
  <w:p>
    <w:pPr>
      <w:pStyle w:val="17"/>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85E93804"/>
    <w:multiLevelType w:val="singleLevel"/>
    <w:tmpl w:val="00000000"/>
    <w:lvl w:ilvl="0">
      <w:start w:val="1"/>
      <w:numFmt w:val="decimal"/>
      <w:lvlRestart w:val="0"/>
      <w:lvlText w:val="%1."/>
      <w:lvlJc w:val="left"/>
      <w:pPr>
        <w:tabs>
          <w:tab w:val="num" w:pos="2040"/>
        </w:tabs>
        <w:ind w:left="2040" w:hanging="36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5"/>
  <w:displayBackgroundShape/>
  <w:bordersDoNotSurroundHeader/>
  <w:bordersDoNotSurroundFooter/>
  <w:trackRevisions/>
  <w:defaultTabStop w:val="420"/>
  <w:drawingGridHorizontalSpacing w:val="110"/>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after="200" w:line="276" w:lineRule="auto"/>
    </w:pPr>
    <w:rPr>
      <w:rFonts w:ascii="Calibri" w:eastAsia="宋体" w:cs="Calibri" w:hAnsi="Calibri"/>
      <w:sz w:val="22"/>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index 6"/>
    <w:basedOn w:val="0"/>
    <w:autoRedefine/>
    <w:next w:val="0"/>
    <w:pPr>
      <w:ind w:left="2100"/>
    </w:pPr>
  </w:style>
  <w:style w:type="paragraph" w:styleId="16">
    <w:name w:val="header"/>
    <w:basedOn w:val="0"/>
    <w:pPr>
      <w:pBdr>
        <w:bottom w:val="single" w:sz="6" w:space="1" w:color="auto"/>
      </w:pBdr>
      <w:tabs>
        <w:tab w:val="center" w:pos="4153"/>
        <w:tab w:val="right" w:pos="8307"/>
      </w:tabs>
      <w:snapToGrid w:val="0"/>
      <w:jc w:val="center"/>
    </w:pPr>
    <w:rPr>
      <w:sz w:val="18"/>
      <w:szCs w:val="18"/>
    </w:rPr>
  </w:style>
  <w:style w:type="paragraph" w:styleId="17">
    <w:name w:val="footer"/>
    <w:basedOn w:val="0"/>
    <w:pPr>
      <w:tabs>
        <w:tab w:val="center" w:pos="4153"/>
        <w:tab w:val="right" w:pos="8307"/>
      </w:tabs>
      <w:snapToGrid w:val="0"/>
      <w:jc w:val="left"/>
    </w:pPr>
    <w:rPr>
      <w:sz w:val="18"/>
      <w:szCs w:val="18"/>
    </w:rPr>
  </w:style>
  <w:style w:type="character" w:styleId="18">
    <w:name w:val="page number"/>
    <w:basedOn w:val="10"/>
  </w:style>
  <w:style w:type="paragraph" w:styleId="19">
    <w:name w:val="List 3"/>
    <w:basedOn w:val="0"/>
    <w:pPr>
      <w:ind w:left="1260" w:hanging="420"/>
    </w:pPr>
  </w:style>
  <w:style w:type="paragraph" w:styleId="20">
    <w:name w:val="List Number 5"/>
    <w:basedOn w:val="0"/>
    <w:pPr>
      <w:numPr>
        <w:ilvl w:val="0"/>
        <w:numId w:val="1"/>
      </w:numPr>
    </w:pPr>
  </w:style>
  <w:style w:type="paragraph" w:styleId="21">
    <w:name w:val="Body Text"/>
    <w:next w:val="15"/>
    <w:pPr>
      <w:widowControl w:val="0"/>
      <w:spacing w:beforeLines="20" w:before="20" w:afterLines="20" w:after="20" w:line="276" w:lineRule="auto"/>
      <w:jc w:val="center"/>
    </w:pPr>
    <w:rPr>
      <w:rFonts w:ascii="Calibri" w:eastAsia="黑体" w:cs="Calibri" w:hAnsi="Calibri"/>
      <w:b/>
      <w:bCs/>
      <w:sz w:val="32"/>
      <w:szCs w:val="32"/>
      <w:lang w:val="en-US" w:eastAsia="zh-CN" w:bidi="ar-SA"/>
    </w:rPr>
  </w:style>
  <w:style w:type="paragraph" w:customStyle="1" w:styleId="22">
    <w:name w:val="List Paragraph1"/>
    <w:next w:val="19"/>
    <w:pPr>
      <w:widowControl/>
      <w:spacing w:after="0" w:line="240" w:lineRule="auto"/>
      <w:ind w:left="720"/>
    </w:pPr>
    <w:rPr>
      <w:rFonts w:ascii="Times New Roman" w:eastAsia="宋体" w:cs="Times New Roman" w:hAnsi="Times New Roman"/>
      <w:sz w:val="24"/>
      <w:szCs w:val="24"/>
      <w:lang w:val="en-US" w:eastAsia="zh-CN" w:bidi="ar-SA"/>
    </w:rPr>
  </w:style>
  <w:style w:type="paragraph" w:customStyle="1" w:styleId="23">
    <w:name w:val="样式 88 10 磅"/>
    <w:next w:val="20"/>
    <w:pPr>
      <w:widowControl w:val="0"/>
      <w:jc w:val="both"/>
    </w:pPr>
    <w:rPr>
      <w:rFonts w:ascii="Times New Roman" w:eastAsia="宋体" w:cs="Times New Roman" w:hAnsi="Times New Roman"/>
      <w:kern w:val="2"/>
      <w:sz w:val="21"/>
      <w:szCs w:val="24"/>
      <w:lang w:val="en-US" w:eastAsia="zh-CN" w:bidi="ar-SA"/>
    </w:rPr>
  </w:style>
  <w:style w:type="paragraph" w:customStyle="1" w:styleId="24">
    <w:name w:val="AQIS Text"/>
    <w:next w:val="16"/>
    <w:pPr>
      <w:widowControl/>
      <w:spacing w:before="160" w:after="0" w:line="280" w:lineRule="atLeast"/>
    </w:pPr>
    <w:rPr>
      <w:rFonts w:ascii="Times New Roman" w:eastAsia="宋体" w:cs="Times New Roman" w:hAnsi="Times New Roman"/>
      <w:kern w:val="2"/>
      <w:sz w:val="2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26</TotalTime>
  <Application>Yozo_Office</Application>
  <Pages>1</Pages>
  <Words>10</Words>
  <Characters>10</Characters>
  <Lines>1</Lines>
  <Paragraphs>1</Paragraphs>
  <CharactersWithSpaces>10</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于晓东</dc:creator>
  <cp:lastModifiedBy>王语冰</cp:lastModifiedBy>
  <cp:revision>1</cp:revision>
  <dcterms:created xsi:type="dcterms:W3CDTF">2025-11-08T03:56:10Z</dcterms:created>
  <dcterms:modified xsi:type="dcterms:W3CDTF">2025-11-19T06:20:28Z</dcterms:modified>
</cp:coreProperties>
</file>