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0C3F" w14:textId="77777777" w:rsidR="00B97277" w:rsidRDefault="00B97277"/>
    <w:p w14:paraId="4220A2FE" w14:textId="71886EDC" w:rsidR="00B97277" w:rsidRDefault="00591A02" w:rsidP="00CE6A04">
      <w:pPr>
        <w:jc w:val="center"/>
        <w:rPr>
          <w:b/>
          <w:bCs/>
        </w:rPr>
      </w:pPr>
      <w:r>
        <w:rPr>
          <w:b/>
          <w:bCs/>
        </w:rPr>
        <w:t>Association</w:t>
      </w:r>
      <w:r w:rsidR="00B97277" w:rsidRPr="00CE6A04">
        <w:rPr>
          <w:b/>
          <w:bCs/>
        </w:rPr>
        <w:t xml:space="preserve"> of scholarships </w:t>
      </w:r>
      <w:r>
        <w:rPr>
          <w:b/>
          <w:bCs/>
        </w:rPr>
        <w:t>with</w:t>
      </w:r>
      <w:r w:rsidR="00507994">
        <w:rPr>
          <w:b/>
          <w:bCs/>
        </w:rPr>
        <w:t xml:space="preserve"> the number of </w:t>
      </w:r>
      <w:r w:rsidR="00B97277" w:rsidRPr="00CE6A04">
        <w:rPr>
          <w:b/>
          <w:bCs/>
        </w:rPr>
        <w:t>care leavers</w:t>
      </w:r>
      <w:r w:rsidR="00507994">
        <w:rPr>
          <w:b/>
          <w:bCs/>
        </w:rPr>
        <w:t xml:space="preserve"> studying at Aston</w:t>
      </w:r>
    </w:p>
    <w:p w14:paraId="7F8AD959" w14:textId="77777777" w:rsidR="00507994" w:rsidRDefault="00507994" w:rsidP="00AE17B7"/>
    <w:p w14:paraId="2478C52C" w14:textId="706F9696" w:rsidR="00AE17B7" w:rsidRDefault="00AE17B7" w:rsidP="00AE17B7">
      <w:r w:rsidRPr="000C7321">
        <w:t xml:space="preserve">Aston’s Access and Participation Plan </w:t>
      </w:r>
      <w:r>
        <w:t xml:space="preserve">(2025-9) </w:t>
      </w:r>
      <w:proofErr w:type="gramStart"/>
      <w:r>
        <w:t>has</w:t>
      </w:r>
      <w:proofErr w:type="gramEnd"/>
      <w:r>
        <w:t xml:space="preserve"> targets to:</w:t>
      </w:r>
    </w:p>
    <w:p w14:paraId="1189887D" w14:textId="4C70DD6F" w:rsidR="00AE17B7" w:rsidRDefault="00AE17B7" w:rsidP="00AE17B7">
      <w:pPr>
        <w:pStyle w:val="ListParagraph"/>
        <w:numPr>
          <w:ilvl w:val="0"/>
          <w:numId w:val="1"/>
        </w:numPr>
      </w:pPr>
      <w:r w:rsidRPr="00AE17B7">
        <w:t>Target 6 (PTS_5): Maintain current good continuation performance (where there are only minimal continuation gaps between IMD quintile 1 &amp; 5) against challenging cost-of-living context through enhancement and targeting of our scholarships offering to those most in need.</w:t>
      </w:r>
    </w:p>
    <w:p w14:paraId="5FC580D5" w14:textId="173939BA" w:rsidR="00AE17B7" w:rsidRDefault="00AE17B7" w:rsidP="00AE17B7">
      <w:r>
        <w:t xml:space="preserve">One of the groups that we consider </w:t>
      </w:r>
      <w:r w:rsidR="00D366A2">
        <w:t xml:space="preserve">to be </w:t>
      </w:r>
      <w:r>
        <w:t>in need, is students classified as care leavers. We also aim to increase the number of students classed as care leavers that study with us. To achieve both objectives</w:t>
      </w:r>
      <w:r w:rsidR="00AA6A1B">
        <w:t>,</w:t>
      </w:r>
      <w:r>
        <w:t xml:space="preserve"> we offer scholarships to eligible students worth £1,250 in each year of study. </w:t>
      </w:r>
      <w:r w:rsidR="00AA6A1B">
        <w:t>A theory of change model below illustrates how this is expected to increase and maintain enrolment of this group of students.</w:t>
      </w:r>
    </w:p>
    <w:p w14:paraId="54393A2D" w14:textId="462E6B50" w:rsidR="00AA6A1B" w:rsidRDefault="00AA6A1B" w:rsidP="00CE6A04">
      <w:pPr>
        <w:jc w:val="center"/>
        <w:rPr>
          <w:b/>
          <w:bCs/>
        </w:rPr>
      </w:pPr>
      <w:r>
        <w:rPr>
          <w:b/>
          <w:bCs/>
          <w:noProof/>
        </w:rPr>
        <w:drawing>
          <wp:inline distT="0" distB="0" distL="0" distR="0" wp14:anchorId="44E154AD" wp14:editId="3542FAD8">
            <wp:extent cx="6123701" cy="3244886"/>
            <wp:effectExtent l="0" t="0" r="0" b="0"/>
            <wp:docPr id="14457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0316" cy="3258989"/>
                    </a:xfrm>
                    <a:prstGeom prst="rect">
                      <a:avLst/>
                    </a:prstGeom>
                    <a:noFill/>
                  </pic:spPr>
                </pic:pic>
              </a:graphicData>
            </a:graphic>
          </wp:inline>
        </w:drawing>
      </w:r>
    </w:p>
    <w:p w14:paraId="437B3B3C" w14:textId="4DD0F9D0" w:rsidR="00507994" w:rsidRPr="00507994" w:rsidRDefault="00507994" w:rsidP="00507994">
      <w:pPr>
        <w:rPr>
          <w:lang w:eastAsia="en-GB"/>
        </w:rPr>
      </w:pPr>
      <w:r w:rsidRPr="00507994">
        <w:t>This short report examines whether Aston’s financial support for students who are care leavers is associated with the proportion and number of disclosed care leavers studying at Aston. Over the last decade, the value of the care leaver scholarship has changed; this provides an opportunity to describe how the recorded number and proportion of care leavers vary across years with different scholarship amounts. This analysis is descriptive and tests association; it does not, on its own, establish that scholarship changes caused changes in care leaver enrolment</w:t>
      </w:r>
      <w:r w:rsidR="00D366A2">
        <w:t xml:space="preserve"> and disclosure</w:t>
      </w:r>
      <w:r w:rsidRPr="00507994">
        <w:t>.</w:t>
      </w:r>
    </w:p>
    <w:p w14:paraId="2D9352C4" w14:textId="77777777" w:rsidR="00507994" w:rsidRDefault="00507994" w:rsidP="00365FA6"/>
    <w:p w14:paraId="73FA3DBD" w14:textId="77777777" w:rsidR="00507994" w:rsidRDefault="00507994" w:rsidP="00365FA6"/>
    <w:p w14:paraId="05C6D04D" w14:textId="77777777" w:rsidR="00367FF1" w:rsidRDefault="00367FF1" w:rsidP="00365FA6">
      <w:pPr>
        <w:rPr>
          <w:b/>
          <w:bCs/>
        </w:rPr>
      </w:pPr>
    </w:p>
    <w:p w14:paraId="4CFBB26C" w14:textId="77777777" w:rsidR="00367FF1" w:rsidRDefault="00367FF1" w:rsidP="00365FA6">
      <w:pPr>
        <w:rPr>
          <w:b/>
          <w:bCs/>
        </w:rPr>
      </w:pPr>
    </w:p>
    <w:tbl>
      <w:tblPr>
        <w:tblStyle w:val="GridTable4-Accent1"/>
        <w:tblW w:w="5000" w:type="pct"/>
        <w:tblInd w:w="0" w:type="dxa"/>
        <w:tblBorders>
          <w:top w:val="single" w:sz="8" w:space="0" w:color="BFBFBF"/>
          <w:left w:val="single" w:sz="8" w:space="0" w:color="BFBFBF"/>
          <w:bottom w:val="single" w:sz="8" w:space="0" w:color="BFBFBF"/>
          <w:right w:val="single" w:sz="8" w:space="0" w:color="BFBFBF"/>
        </w:tblBorders>
        <w:tblLook w:val="04A0" w:firstRow="1" w:lastRow="0" w:firstColumn="1" w:lastColumn="0" w:noHBand="0" w:noVBand="1"/>
      </w:tblPr>
      <w:tblGrid>
        <w:gridCol w:w="1663"/>
        <w:gridCol w:w="1664"/>
        <w:gridCol w:w="2033"/>
        <w:gridCol w:w="3882"/>
      </w:tblGrid>
      <w:tr w:rsidR="00367FF1" w14:paraId="2C360BFC" w14:textId="77777777">
        <w:tc>
          <w:tcPr>
            <w:tcW w:w="900" w:type="pct"/>
            <w:tcBorders>
              <w:top w:val="single" w:sz="8" w:space="0" w:color="BFBFBF"/>
              <w:left w:val="single" w:sz="8" w:space="0" w:color="BFBFBF"/>
              <w:bottom w:val="single" w:sz="8" w:space="0" w:color="BFBFBF"/>
              <w:right w:val="single" w:sz="8" w:space="0" w:color="BFBFBF"/>
            </w:tcBorders>
            <w:shd w:val="clear" w:color="auto" w:fill="E7EEF8"/>
            <w:vAlign w:val="center"/>
            <w:hideMark/>
          </w:tcPr>
          <w:p w14:paraId="4FF046B4" w14:textId="77777777" w:rsidR="00367FF1" w:rsidRDefault="00367FF1">
            <w:pPr>
              <w:rPr>
                <w:rFonts w:cs="Times New Roman"/>
                <w:sz w:val="22"/>
                <w:szCs w:val="22"/>
                <w:lang w:eastAsia="en-GB"/>
              </w:rPr>
            </w:pPr>
            <w:r>
              <w:rPr>
                <w:rFonts w:ascii="Arial" w:hAnsi="Arial" w:cs="Arial"/>
                <w:b/>
                <w:bCs/>
                <w:color w:val="000000"/>
                <w:sz w:val="20"/>
                <w:szCs w:val="20"/>
              </w:rPr>
              <w:lastRenderedPageBreak/>
              <w:t>Academic year</w:t>
            </w:r>
          </w:p>
        </w:tc>
        <w:tc>
          <w:tcPr>
            <w:tcW w:w="900" w:type="pct"/>
            <w:tcBorders>
              <w:top w:val="single" w:sz="8" w:space="0" w:color="BFBFBF"/>
              <w:left w:val="single" w:sz="8" w:space="0" w:color="BFBFBF"/>
              <w:bottom w:val="single" w:sz="8" w:space="0" w:color="BFBFBF"/>
              <w:right w:val="single" w:sz="8" w:space="0" w:color="BFBFBF"/>
            </w:tcBorders>
            <w:shd w:val="clear" w:color="auto" w:fill="E7EEF8"/>
            <w:vAlign w:val="center"/>
            <w:hideMark/>
          </w:tcPr>
          <w:p w14:paraId="4FD5420E" w14:textId="77777777" w:rsidR="00367FF1" w:rsidRDefault="00367FF1">
            <w:pPr>
              <w:jc w:val="right"/>
              <w:rPr>
                <w:rFonts w:cs="Times New Roman"/>
                <w:sz w:val="22"/>
                <w:szCs w:val="22"/>
              </w:rPr>
            </w:pPr>
            <w:r>
              <w:rPr>
                <w:rFonts w:ascii="Arial" w:hAnsi="Arial" w:cs="Arial"/>
                <w:b/>
                <w:bCs/>
                <w:color w:val="000000"/>
                <w:sz w:val="20"/>
                <w:szCs w:val="20"/>
              </w:rPr>
              <w:t>% care leavers</w:t>
            </w:r>
          </w:p>
        </w:tc>
        <w:tc>
          <w:tcPr>
            <w:tcW w:w="1100" w:type="pct"/>
            <w:tcBorders>
              <w:top w:val="single" w:sz="8" w:space="0" w:color="BFBFBF"/>
              <w:left w:val="single" w:sz="8" w:space="0" w:color="BFBFBF"/>
              <w:bottom w:val="single" w:sz="8" w:space="0" w:color="BFBFBF"/>
              <w:right w:val="single" w:sz="8" w:space="0" w:color="BFBFBF"/>
            </w:tcBorders>
            <w:shd w:val="clear" w:color="auto" w:fill="E7EEF8"/>
            <w:vAlign w:val="center"/>
            <w:hideMark/>
          </w:tcPr>
          <w:p w14:paraId="4353E4AF" w14:textId="77777777" w:rsidR="00367FF1" w:rsidRDefault="00367FF1">
            <w:pPr>
              <w:jc w:val="right"/>
              <w:rPr>
                <w:rFonts w:cs="Times New Roman"/>
                <w:sz w:val="22"/>
                <w:szCs w:val="22"/>
              </w:rPr>
            </w:pPr>
            <w:r>
              <w:rPr>
                <w:rFonts w:ascii="Arial" w:hAnsi="Arial" w:cs="Arial"/>
                <w:b/>
                <w:bCs/>
                <w:color w:val="000000"/>
                <w:sz w:val="20"/>
                <w:szCs w:val="20"/>
              </w:rPr>
              <w:t>Number of care leavers</w:t>
            </w:r>
          </w:p>
        </w:tc>
        <w:tc>
          <w:tcPr>
            <w:tcW w:w="2100" w:type="pct"/>
            <w:tcBorders>
              <w:top w:val="single" w:sz="8" w:space="0" w:color="BFBFBF"/>
              <w:left w:val="single" w:sz="8" w:space="0" w:color="BFBFBF"/>
              <w:bottom w:val="single" w:sz="8" w:space="0" w:color="BFBFBF"/>
              <w:right w:val="single" w:sz="8" w:space="0" w:color="BFBFBF"/>
            </w:tcBorders>
            <w:shd w:val="clear" w:color="auto" w:fill="E7EEF8"/>
            <w:vAlign w:val="center"/>
            <w:hideMark/>
          </w:tcPr>
          <w:p w14:paraId="0478E000" w14:textId="77777777" w:rsidR="00367FF1" w:rsidRDefault="00367FF1">
            <w:pPr>
              <w:jc w:val="right"/>
              <w:rPr>
                <w:rFonts w:cs="Times New Roman"/>
                <w:sz w:val="22"/>
                <w:szCs w:val="22"/>
              </w:rPr>
            </w:pPr>
            <w:r>
              <w:rPr>
                <w:rFonts w:ascii="Arial" w:hAnsi="Arial" w:cs="Arial"/>
                <w:b/>
                <w:bCs/>
                <w:color w:val="000000"/>
                <w:sz w:val="20"/>
                <w:szCs w:val="20"/>
              </w:rPr>
              <w:t>Total scholarship amount offered (excluding placement year)</w:t>
            </w:r>
          </w:p>
        </w:tc>
      </w:tr>
      <w:tr w:rsidR="00367FF1" w14:paraId="70B37261" w14:textId="77777777">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30768DED" w14:textId="77777777" w:rsidR="00367FF1" w:rsidRDefault="00367FF1">
            <w:pPr>
              <w:rPr>
                <w:rFonts w:cs="Times New Roman"/>
                <w:sz w:val="22"/>
                <w:szCs w:val="22"/>
              </w:rPr>
            </w:pPr>
            <w:r>
              <w:rPr>
                <w:rFonts w:ascii="Arial" w:hAnsi="Arial" w:cs="Arial"/>
                <w:b/>
                <w:bCs/>
                <w:color w:val="000000"/>
                <w:sz w:val="20"/>
                <w:szCs w:val="20"/>
              </w:rPr>
              <w:t>2016/17</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4F2F8C99" w14:textId="77777777" w:rsidR="00367FF1" w:rsidRDefault="00367FF1">
            <w:pPr>
              <w:jc w:val="right"/>
              <w:rPr>
                <w:rFonts w:cs="Times New Roman"/>
                <w:sz w:val="22"/>
                <w:szCs w:val="22"/>
              </w:rPr>
            </w:pPr>
            <w:r>
              <w:rPr>
                <w:rFonts w:ascii="Arial" w:hAnsi="Arial" w:cs="Arial"/>
                <w:color w:val="000000"/>
                <w:sz w:val="20"/>
                <w:szCs w:val="20"/>
              </w:rPr>
              <w:t>0.141</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6E3198B4" w14:textId="77777777" w:rsidR="00367FF1" w:rsidRDefault="00367FF1">
            <w:pPr>
              <w:jc w:val="right"/>
              <w:rPr>
                <w:rFonts w:cs="Times New Roman"/>
                <w:sz w:val="22"/>
                <w:szCs w:val="22"/>
              </w:rPr>
            </w:pPr>
            <w:r>
              <w:rPr>
                <w:rFonts w:ascii="Arial" w:hAnsi="Arial" w:cs="Arial"/>
                <w:color w:val="000000"/>
                <w:sz w:val="20"/>
                <w:szCs w:val="20"/>
              </w:rPr>
              <w:t>10</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7FBC2A65" w14:textId="77777777" w:rsidR="00367FF1" w:rsidRDefault="00367FF1">
            <w:pPr>
              <w:jc w:val="right"/>
              <w:rPr>
                <w:rFonts w:cs="Times New Roman"/>
                <w:sz w:val="22"/>
                <w:szCs w:val="22"/>
              </w:rPr>
            </w:pPr>
            <w:r>
              <w:rPr>
                <w:rFonts w:ascii="Arial" w:hAnsi="Arial" w:cs="Arial"/>
                <w:color w:val="000000"/>
                <w:sz w:val="20"/>
                <w:szCs w:val="20"/>
              </w:rPr>
              <w:t>0</w:t>
            </w:r>
          </w:p>
        </w:tc>
      </w:tr>
      <w:tr w:rsidR="00367FF1" w14:paraId="1C02BBBE" w14:textId="77777777">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2F37DFA9" w14:textId="77777777" w:rsidR="00367FF1" w:rsidRDefault="00367FF1">
            <w:pPr>
              <w:rPr>
                <w:rFonts w:cs="Times New Roman"/>
                <w:sz w:val="22"/>
                <w:szCs w:val="22"/>
              </w:rPr>
            </w:pPr>
            <w:r>
              <w:rPr>
                <w:rFonts w:ascii="Arial" w:hAnsi="Arial" w:cs="Arial"/>
                <w:b/>
                <w:bCs/>
                <w:color w:val="000000"/>
                <w:sz w:val="20"/>
                <w:szCs w:val="20"/>
              </w:rPr>
              <w:t>2017/18</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0D8C29F1" w14:textId="77777777" w:rsidR="00367FF1" w:rsidRDefault="00367FF1">
            <w:pPr>
              <w:jc w:val="right"/>
              <w:rPr>
                <w:rFonts w:cs="Times New Roman"/>
                <w:sz w:val="22"/>
                <w:szCs w:val="22"/>
              </w:rPr>
            </w:pPr>
            <w:r>
              <w:rPr>
                <w:rFonts w:ascii="Arial" w:hAnsi="Arial" w:cs="Arial"/>
                <w:color w:val="000000"/>
                <w:sz w:val="20"/>
                <w:szCs w:val="20"/>
              </w:rPr>
              <w:t>0.383</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5531CA55" w14:textId="77777777" w:rsidR="00367FF1" w:rsidRDefault="00367FF1">
            <w:pPr>
              <w:jc w:val="right"/>
              <w:rPr>
                <w:rFonts w:cs="Times New Roman"/>
                <w:sz w:val="22"/>
                <w:szCs w:val="22"/>
              </w:rPr>
            </w:pPr>
            <w:r>
              <w:rPr>
                <w:rFonts w:ascii="Arial" w:hAnsi="Arial" w:cs="Arial"/>
                <w:color w:val="000000"/>
                <w:sz w:val="20"/>
                <w:szCs w:val="20"/>
              </w:rPr>
              <w:t>26</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722BF92A" w14:textId="77777777" w:rsidR="00367FF1" w:rsidRDefault="00367FF1">
            <w:pPr>
              <w:jc w:val="right"/>
              <w:rPr>
                <w:rFonts w:cs="Times New Roman"/>
                <w:sz w:val="22"/>
                <w:szCs w:val="22"/>
              </w:rPr>
            </w:pPr>
            <w:r>
              <w:rPr>
                <w:rFonts w:ascii="Arial" w:hAnsi="Arial" w:cs="Arial"/>
                <w:color w:val="000000"/>
                <w:sz w:val="20"/>
                <w:szCs w:val="20"/>
              </w:rPr>
              <w:t>500</w:t>
            </w:r>
          </w:p>
        </w:tc>
      </w:tr>
      <w:tr w:rsidR="00367FF1" w14:paraId="46485324"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2FE928B0" w14:textId="77777777" w:rsidR="00367FF1" w:rsidRDefault="00367FF1">
            <w:pPr>
              <w:rPr>
                <w:rFonts w:cs="Times New Roman"/>
                <w:sz w:val="22"/>
                <w:szCs w:val="22"/>
              </w:rPr>
            </w:pPr>
            <w:r>
              <w:rPr>
                <w:rFonts w:ascii="Arial" w:hAnsi="Arial" w:cs="Arial"/>
                <w:b/>
                <w:bCs/>
                <w:color w:val="000000"/>
                <w:sz w:val="20"/>
                <w:szCs w:val="20"/>
              </w:rPr>
              <w:t>2018/19</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1ECAB86A" w14:textId="77777777" w:rsidR="00367FF1" w:rsidRDefault="00367FF1">
            <w:pPr>
              <w:jc w:val="right"/>
              <w:rPr>
                <w:rFonts w:cs="Times New Roman"/>
                <w:sz w:val="22"/>
                <w:szCs w:val="22"/>
              </w:rPr>
            </w:pPr>
            <w:r>
              <w:rPr>
                <w:rFonts w:ascii="Arial" w:hAnsi="Arial" w:cs="Arial"/>
                <w:color w:val="000000"/>
                <w:sz w:val="20"/>
                <w:szCs w:val="20"/>
              </w:rPr>
              <w:t>1.025</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62117121" w14:textId="77777777" w:rsidR="00367FF1" w:rsidRDefault="00367FF1">
            <w:pPr>
              <w:jc w:val="right"/>
              <w:rPr>
                <w:rFonts w:cs="Times New Roman"/>
                <w:sz w:val="22"/>
                <w:szCs w:val="22"/>
              </w:rPr>
            </w:pPr>
            <w:r>
              <w:rPr>
                <w:rFonts w:ascii="Arial" w:hAnsi="Arial" w:cs="Arial"/>
                <w:color w:val="000000"/>
                <w:sz w:val="20"/>
                <w:szCs w:val="20"/>
              </w:rPr>
              <w:t>51</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522DE8C9" w14:textId="77777777" w:rsidR="00367FF1" w:rsidRDefault="00367FF1">
            <w:pPr>
              <w:jc w:val="right"/>
              <w:rPr>
                <w:rFonts w:cs="Times New Roman"/>
                <w:sz w:val="22"/>
                <w:szCs w:val="22"/>
              </w:rPr>
            </w:pPr>
            <w:r>
              <w:rPr>
                <w:rFonts w:ascii="Arial" w:hAnsi="Arial" w:cs="Arial"/>
                <w:color w:val="000000"/>
                <w:sz w:val="20"/>
                <w:szCs w:val="20"/>
              </w:rPr>
              <w:t>3750</w:t>
            </w:r>
          </w:p>
        </w:tc>
      </w:tr>
      <w:tr w:rsidR="00367FF1" w14:paraId="70E155D8"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5FAA6A09" w14:textId="77777777" w:rsidR="00367FF1" w:rsidRDefault="00367FF1">
            <w:pPr>
              <w:rPr>
                <w:rFonts w:cs="Times New Roman"/>
                <w:sz w:val="22"/>
                <w:szCs w:val="22"/>
              </w:rPr>
            </w:pPr>
            <w:r>
              <w:rPr>
                <w:rFonts w:ascii="Arial" w:hAnsi="Arial" w:cs="Arial"/>
                <w:b/>
                <w:bCs/>
                <w:color w:val="000000"/>
                <w:sz w:val="20"/>
                <w:szCs w:val="20"/>
              </w:rPr>
              <w:t>2019/20</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27B2D2EF" w14:textId="77777777" w:rsidR="00367FF1" w:rsidRDefault="00367FF1">
            <w:pPr>
              <w:jc w:val="right"/>
              <w:rPr>
                <w:rFonts w:cs="Times New Roman"/>
                <w:sz w:val="22"/>
                <w:szCs w:val="22"/>
              </w:rPr>
            </w:pPr>
            <w:r>
              <w:rPr>
                <w:rFonts w:ascii="Arial" w:hAnsi="Arial" w:cs="Arial"/>
                <w:color w:val="000000"/>
                <w:sz w:val="20"/>
                <w:szCs w:val="20"/>
              </w:rPr>
              <w:t>0.908</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1252D160" w14:textId="77777777" w:rsidR="00367FF1" w:rsidRDefault="00367FF1">
            <w:pPr>
              <w:jc w:val="right"/>
              <w:rPr>
                <w:rFonts w:cs="Times New Roman"/>
                <w:sz w:val="22"/>
                <w:szCs w:val="22"/>
              </w:rPr>
            </w:pPr>
            <w:r>
              <w:rPr>
                <w:rFonts w:ascii="Arial" w:hAnsi="Arial" w:cs="Arial"/>
                <w:color w:val="000000"/>
                <w:sz w:val="20"/>
                <w:szCs w:val="20"/>
              </w:rPr>
              <w:t>43</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0E370C58" w14:textId="77777777" w:rsidR="00367FF1" w:rsidRDefault="00367FF1">
            <w:pPr>
              <w:jc w:val="right"/>
              <w:rPr>
                <w:rFonts w:cs="Times New Roman"/>
                <w:sz w:val="22"/>
                <w:szCs w:val="22"/>
              </w:rPr>
            </w:pPr>
            <w:r>
              <w:rPr>
                <w:rFonts w:ascii="Arial" w:hAnsi="Arial" w:cs="Arial"/>
                <w:color w:val="000000"/>
                <w:sz w:val="20"/>
                <w:szCs w:val="20"/>
              </w:rPr>
              <w:t>3750</w:t>
            </w:r>
          </w:p>
        </w:tc>
      </w:tr>
      <w:tr w:rsidR="00367FF1" w14:paraId="6CB3DEC5" w14:textId="77777777">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0FA7436C" w14:textId="77777777" w:rsidR="00367FF1" w:rsidRDefault="00367FF1">
            <w:pPr>
              <w:rPr>
                <w:rFonts w:cs="Times New Roman"/>
                <w:sz w:val="22"/>
                <w:szCs w:val="22"/>
              </w:rPr>
            </w:pPr>
            <w:r>
              <w:rPr>
                <w:rFonts w:ascii="Arial" w:hAnsi="Arial" w:cs="Arial"/>
                <w:b/>
                <w:bCs/>
                <w:color w:val="000000"/>
                <w:sz w:val="20"/>
                <w:szCs w:val="20"/>
              </w:rPr>
              <w:t>2020/21</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1ED234C4" w14:textId="77777777" w:rsidR="00367FF1" w:rsidRDefault="00367FF1">
            <w:pPr>
              <w:jc w:val="right"/>
              <w:rPr>
                <w:rFonts w:cs="Times New Roman"/>
                <w:sz w:val="22"/>
                <w:szCs w:val="22"/>
              </w:rPr>
            </w:pPr>
            <w:r>
              <w:rPr>
                <w:rFonts w:ascii="Arial" w:hAnsi="Arial" w:cs="Arial"/>
                <w:color w:val="000000"/>
                <w:sz w:val="20"/>
                <w:szCs w:val="20"/>
              </w:rPr>
              <w:t>0.553</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013F1554" w14:textId="77777777" w:rsidR="00367FF1" w:rsidRDefault="00367FF1">
            <w:pPr>
              <w:jc w:val="right"/>
              <w:rPr>
                <w:rFonts w:cs="Times New Roman"/>
                <w:sz w:val="22"/>
                <w:szCs w:val="22"/>
              </w:rPr>
            </w:pPr>
            <w:r>
              <w:rPr>
                <w:rFonts w:ascii="Arial" w:hAnsi="Arial" w:cs="Arial"/>
                <w:color w:val="000000"/>
                <w:sz w:val="20"/>
                <w:szCs w:val="20"/>
              </w:rPr>
              <w:t>22</w:t>
            </w:r>
          </w:p>
        </w:tc>
        <w:tc>
          <w:tcPr>
            <w:tcW w:w="0" w:type="auto"/>
            <w:tcBorders>
              <w:top w:val="single" w:sz="8" w:space="0" w:color="BFBFBF"/>
              <w:left w:val="single" w:sz="8" w:space="0" w:color="BFBFBF"/>
              <w:bottom w:val="single" w:sz="8" w:space="0" w:color="BFBFBF"/>
              <w:right w:val="single" w:sz="8" w:space="0" w:color="BFBFBF"/>
            </w:tcBorders>
            <w:shd w:val="clear" w:color="auto" w:fill="F8D7DA"/>
            <w:vAlign w:val="center"/>
            <w:hideMark/>
          </w:tcPr>
          <w:p w14:paraId="6C21EDFC" w14:textId="77777777" w:rsidR="00367FF1" w:rsidRDefault="00367FF1">
            <w:pPr>
              <w:jc w:val="right"/>
              <w:rPr>
                <w:rFonts w:cs="Times New Roman"/>
                <w:sz w:val="22"/>
                <w:szCs w:val="22"/>
              </w:rPr>
            </w:pPr>
            <w:r>
              <w:rPr>
                <w:rFonts w:ascii="Arial" w:hAnsi="Arial" w:cs="Arial"/>
                <w:color w:val="000000"/>
                <w:sz w:val="20"/>
                <w:szCs w:val="20"/>
              </w:rPr>
              <w:t>500</w:t>
            </w:r>
          </w:p>
        </w:tc>
      </w:tr>
      <w:tr w:rsidR="00367FF1" w14:paraId="03534043"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4B762B78" w14:textId="77777777" w:rsidR="00367FF1" w:rsidRDefault="00367FF1">
            <w:pPr>
              <w:rPr>
                <w:rFonts w:cs="Times New Roman"/>
                <w:sz w:val="22"/>
                <w:szCs w:val="22"/>
              </w:rPr>
            </w:pPr>
            <w:r>
              <w:rPr>
                <w:rFonts w:ascii="Arial" w:hAnsi="Arial" w:cs="Arial"/>
                <w:b/>
                <w:bCs/>
                <w:color w:val="000000"/>
                <w:sz w:val="20"/>
                <w:szCs w:val="20"/>
              </w:rPr>
              <w:t>2021/22</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0F6E76D5" w14:textId="77777777" w:rsidR="00367FF1" w:rsidRDefault="00367FF1">
            <w:pPr>
              <w:jc w:val="right"/>
              <w:rPr>
                <w:rFonts w:cs="Times New Roman"/>
                <w:sz w:val="22"/>
                <w:szCs w:val="22"/>
              </w:rPr>
            </w:pPr>
            <w:r>
              <w:rPr>
                <w:rFonts w:ascii="Arial" w:hAnsi="Arial" w:cs="Arial"/>
                <w:color w:val="000000"/>
                <w:sz w:val="20"/>
                <w:szCs w:val="20"/>
              </w:rPr>
              <w:t>0.820</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1BD193DC" w14:textId="77777777" w:rsidR="00367FF1" w:rsidRDefault="00367FF1">
            <w:pPr>
              <w:jc w:val="right"/>
              <w:rPr>
                <w:rFonts w:cs="Times New Roman"/>
                <w:sz w:val="22"/>
                <w:szCs w:val="22"/>
              </w:rPr>
            </w:pPr>
            <w:r>
              <w:rPr>
                <w:rFonts w:ascii="Arial" w:hAnsi="Arial" w:cs="Arial"/>
                <w:color w:val="000000"/>
                <w:sz w:val="20"/>
                <w:szCs w:val="20"/>
              </w:rPr>
              <w:t>38</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52222787" w14:textId="77777777" w:rsidR="00367FF1" w:rsidRDefault="00367FF1">
            <w:pPr>
              <w:jc w:val="right"/>
              <w:rPr>
                <w:rFonts w:cs="Times New Roman"/>
                <w:sz w:val="22"/>
                <w:szCs w:val="22"/>
              </w:rPr>
            </w:pPr>
            <w:r>
              <w:rPr>
                <w:rFonts w:ascii="Arial" w:hAnsi="Arial" w:cs="Arial"/>
                <w:color w:val="000000"/>
                <w:sz w:val="20"/>
                <w:szCs w:val="20"/>
              </w:rPr>
              <w:t>3750</w:t>
            </w:r>
          </w:p>
        </w:tc>
      </w:tr>
      <w:tr w:rsidR="00367FF1" w14:paraId="0A645C33"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2BD4F221" w14:textId="77777777" w:rsidR="00367FF1" w:rsidRDefault="00367FF1">
            <w:pPr>
              <w:rPr>
                <w:rFonts w:cs="Times New Roman"/>
                <w:sz w:val="22"/>
                <w:szCs w:val="22"/>
              </w:rPr>
            </w:pPr>
            <w:r>
              <w:rPr>
                <w:rFonts w:ascii="Arial" w:hAnsi="Arial" w:cs="Arial"/>
                <w:b/>
                <w:bCs/>
                <w:color w:val="000000"/>
                <w:sz w:val="20"/>
                <w:szCs w:val="20"/>
              </w:rPr>
              <w:t>2022/23</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2359A0C7" w14:textId="77777777" w:rsidR="00367FF1" w:rsidRDefault="00367FF1">
            <w:pPr>
              <w:jc w:val="right"/>
              <w:rPr>
                <w:rFonts w:cs="Times New Roman"/>
                <w:sz w:val="22"/>
                <w:szCs w:val="22"/>
              </w:rPr>
            </w:pPr>
            <w:r>
              <w:rPr>
                <w:rFonts w:ascii="Arial" w:hAnsi="Arial" w:cs="Arial"/>
                <w:color w:val="000000"/>
                <w:sz w:val="20"/>
                <w:szCs w:val="20"/>
              </w:rPr>
              <w:t>0.777</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4079B308" w14:textId="77777777" w:rsidR="00367FF1" w:rsidRDefault="00367FF1">
            <w:pPr>
              <w:jc w:val="right"/>
              <w:rPr>
                <w:rFonts w:cs="Times New Roman"/>
                <w:sz w:val="22"/>
                <w:szCs w:val="22"/>
              </w:rPr>
            </w:pPr>
            <w:r>
              <w:rPr>
                <w:rFonts w:ascii="Arial" w:hAnsi="Arial" w:cs="Arial"/>
                <w:color w:val="000000"/>
                <w:sz w:val="20"/>
                <w:szCs w:val="20"/>
              </w:rPr>
              <w:t>38</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17D6115A" w14:textId="77777777" w:rsidR="00367FF1" w:rsidRDefault="00367FF1">
            <w:pPr>
              <w:jc w:val="right"/>
              <w:rPr>
                <w:rFonts w:cs="Times New Roman"/>
                <w:sz w:val="22"/>
                <w:szCs w:val="22"/>
              </w:rPr>
            </w:pPr>
            <w:r>
              <w:rPr>
                <w:rFonts w:ascii="Arial" w:hAnsi="Arial" w:cs="Arial"/>
                <w:color w:val="000000"/>
                <w:sz w:val="20"/>
                <w:szCs w:val="20"/>
              </w:rPr>
              <w:t>3750</w:t>
            </w:r>
          </w:p>
        </w:tc>
      </w:tr>
      <w:tr w:rsidR="00367FF1" w14:paraId="036920F6"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4731D456" w14:textId="77777777" w:rsidR="00367FF1" w:rsidRDefault="00367FF1">
            <w:pPr>
              <w:rPr>
                <w:rFonts w:cs="Times New Roman"/>
                <w:sz w:val="22"/>
                <w:szCs w:val="22"/>
              </w:rPr>
            </w:pPr>
            <w:r>
              <w:rPr>
                <w:rFonts w:ascii="Arial" w:hAnsi="Arial" w:cs="Arial"/>
                <w:b/>
                <w:bCs/>
                <w:color w:val="000000"/>
                <w:sz w:val="20"/>
                <w:szCs w:val="20"/>
              </w:rPr>
              <w:t>2023/24</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5DABCFD7" w14:textId="77777777" w:rsidR="00367FF1" w:rsidRDefault="00367FF1">
            <w:pPr>
              <w:jc w:val="right"/>
              <w:rPr>
                <w:rFonts w:cs="Times New Roman"/>
                <w:sz w:val="22"/>
                <w:szCs w:val="22"/>
              </w:rPr>
            </w:pPr>
            <w:r>
              <w:rPr>
                <w:rFonts w:ascii="Arial" w:hAnsi="Arial" w:cs="Arial"/>
                <w:color w:val="000000"/>
                <w:sz w:val="20"/>
                <w:szCs w:val="20"/>
              </w:rPr>
              <w:t>0.974</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23515AD3" w14:textId="77777777" w:rsidR="00367FF1" w:rsidRDefault="00367FF1">
            <w:pPr>
              <w:jc w:val="right"/>
              <w:rPr>
                <w:rFonts w:cs="Times New Roman"/>
                <w:sz w:val="22"/>
                <w:szCs w:val="22"/>
              </w:rPr>
            </w:pPr>
            <w:r>
              <w:rPr>
                <w:rFonts w:ascii="Arial" w:hAnsi="Arial" w:cs="Arial"/>
                <w:color w:val="000000"/>
                <w:sz w:val="20"/>
                <w:szCs w:val="20"/>
              </w:rPr>
              <w:t>57</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031623D4" w14:textId="77777777" w:rsidR="00367FF1" w:rsidRDefault="00367FF1">
            <w:pPr>
              <w:jc w:val="right"/>
              <w:rPr>
                <w:rFonts w:cs="Times New Roman"/>
                <w:sz w:val="22"/>
                <w:szCs w:val="22"/>
              </w:rPr>
            </w:pPr>
            <w:r>
              <w:rPr>
                <w:rFonts w:ascii="Arial" w:hAnsi="Arial" w:cs="Arial"/>
                <w:color w:val="000000"/>
                <w:sz w:val="20"/>
                <w:szCs w:val="20"/>
              </w:rPr>
              <w:t>3750</w:t>
            </w:r>
          </w:p>
        </w:tc>
      </w:tr>
      <w:tr w:rsidR="00367FF1" w14:paraId="0412B0F9"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73221F89" w14:textId="77777777" w:rsidR="00367FF1" w:rsidRDefault="00367FF1">
            <w:pPr>
              <w:rPr>
                <w:rFonts w:cs="Times New Roman"/>
                <w:sz w:val="22"/>
                <w:szCs w:val="22"/>
              </w:rPr>
            </w:pPr>
            <w:r>
              <w:rPr>
                <w:rFonts w:ascii="Arial" w:hAnsi="Arial" w:cs="Arial"/>
                <w:b/>
                <w:bCs/>
                <w:color w:val="000000"/>
                <w:sz w:val="20"/>
                <w:szCs w:val="20"/>
              </w:rPr>
              <w:t>2024/25</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7F20B501" w14:textId="77777777" w:rsidR="00367FF1" w:rsidRDefault="00367FF1">
            <w:pPr>
              <w:jc w:val="right"/>
              <w:rPr>
                <w:rFonts w:cs="Times New Roman"/>
                <w:sz w:val="22"/>
                <w:szCs w:val="22"/>
              </w:rPr>
            </w:pPr>
            <w:r>
              <w:rPr>
                <w:rFonts w:ascii="Arial" w:hAnsi="Arial" w:cs="Arial"/>
                <w:color w:val="000000"/>
                <w:sz w:val="20"/>
                <w:szCs w:val="20"/>
              </w:rPr>
              <w:t>1.716</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24CCEE29" w14:textId="77777777" w:rsidR="00367FF1" w:rsidRDefault="00367FF1">
            <w:pPr>
              <w:jc w:val="right"/>
              <w:rPr>
                <w:rFonts w:cs="Times New Roman"/>
                <w:sz w:val="22"/>
                <w:szCs w:val="22"/>
              </w:rPr>
            </w:pPr>
            <w:r>
              <w:rPr>
                <w:rFonts w:ascii="Arial" w:hAnsi="Arial" w:cs="Arial"/>
                <w:color w:val="000000"/>
                <w:sz w:val="20"/>
                <w:szCs w:val="20"/>
              </w:rPr>
              <w:t>123</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64D96C0A" w14:textId="77777777" w:rsidR="00367FF1" w:rsidRDefault="00367FF1">
            <w:pPr>
              <w:jc w:val="right"/>
              <w:rPr>
                <w:rFonts w:cs="Times New Roman"/>
                <w:sz w:val="22"/>
                <w:szCs w:val="22"/>
              </w:rPr>
            </w:pPr>
            <w:r>
              <w:rPr>
                <w:rFonts w:ascii="Arial" w:hAnsi="Arial" w:cs="Arial"/>
                <w:color w:val="000000"/>
                <w:sz w:val="20"/>
                <w:szCs w:val="20"/>
              </w:rPr>
              <w:t>3750</w:t>
            </w:r>
          </w:p>
        </w:tc>
      </w:tr>
      <w:tr w:rsidR="00367FF1" w14:paraId="642D1CB0" w14:textId="77777777">
        <w:tc>
          <w:tcPr>
            <w:tcW w:w="0" w:type="auto"/>
            <w:tcBorders>
              <w:top w:val="single" w:sz="8" w:space="0" w:color="BFBFBF"/>
              <w:left w:val="single" w:sz="8" w:space="0" w:color="BFBFBF"/>
              <w:bottom w:val="single" w:sz="8" w:space="0" w:color="BFBFBF"/>
              <w:right w:val="single" w:sz="8" w:space="0" w:color="BFBFBF"/>
            </w:tcBorders>
            <w:vAlign w:val="center"/>
            <w:hideMark/>
          </w:tcPr>
          <w:p w14:paraId="5C1C052A" w14:textId="77777777" w:rsidR="00367FF1" w:rsidRDefault="00367FF1">
            <w:pPr>
              <w:rPr>
                <w:rFonts w:cs="Times New Roman"/>
                <w:sz w:val="22"/>
                <w:szCs w:val="22"/>
              </w:rPr>
            </w:pPr>
            <w:r>
              <w:rPr>
                <w:rFonts w:ascii="Arial" w:hAnsi="Arial" w:cs="Arial"/>
                <w:b/>
                <w:bCs/>
                <w:color w:val="000000"/>
                <w:sz w:val="20"/>
                <w:szCs w:val="20"/>
              </w:rPr>
              <w:t>2025/26</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39FF0BC0" w14:textId="77777777" w:rsidR="00367FF1" w:rsidRDefault="00367FF1">
            <w:pPr>
              <w:jc w:val="right"/>
              <w:rPr>
                <w:rFonts w:cs="Times New Roman"/>
                <w:sz w:val="22"/>
                <w:szCs w:val="22"/>
              </w:rPr>
            </w:pPr>
            <w:r>
              <w:rPr>
                <w:rFonts w:ascii="Arial" w:hAnsi="Arial" w:cs="Arial"/>
                <w:color w:val="000000"/>
                <w:sz w:val="20"/>
                <w:szCs w:val="20"/>
              </w:rPr>
              <w:t>1.046</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0872A962" w14:textId="77777777" w:rsidR="00367FF1" w:rsidRDefault="00367FF1">
            <w:pPr>
              <w:jc w:val="right"/>
              <w:rPr>
                <w:rFonts w:cs="Times New Roman"/>
                <w:sz w:val="22"/>
                <w:szCs w:val="22"/>
              </w:rPr>
            </w:pPr>
            <w:r>
              <w:rPr>
                <w:rFonts w:ascii="Arial" w:hAnsi="Arial" w:cs="Arial"/>
                <w:color w:val="000000"/>
                <w:sz w:val="20"/>
                <w:szCs w:val="20"/>
              </w:rPr>
              <w:t>63</w:t>
            </w:r>
          </w:p>
        </w:tc>
        <w:tc>
          <w:tcPr>
            <w:tcW w:w="0" w:type="auto"/>
            <w:tcBorders>
              <w:top w:val="single" w:sz="8" w:space="0" w:color="BFBFBF"/>
              <w:left w:val="single" w:sz="8" w:space="0" w:color="BFBFBF"/>
              <w:bottom w:val="single" w:sz="8" w:space="0" w:color="BFBFBF"/>
              <w:right w:val="single" w:sz="8" w:space="0" w:color="BFBFBF"/>
            </w:tcBorders>
            <w:vAlign w:val="center"/>
            <w:hideMark/>
          </w:tcPr>
          <w:p w14:paraId="31D8C5E8" w14:textId="77777777" w:rsidR="00367FF1" w:rsidRDefault="00367FF1">
            <w:pPr>
              <w:jc w:val="right"/>
              <w:rPr>
                <w:rFonts w:cs="Times New Roman"/>
                <w:sz w:val="22"/>
                <w:szCs w:val="22"/>
              </w:rPr>
            </w:pPr>
            <w:r>
              <w:rPr>
                <w:rFonts w:ascii="Arial" w:hAnsi="Arial" w:cs="Arial"/>
                <w:color w:val="000000"/>
                <w:sz w:val="20"/>
                <w:szCs w:val="20"/>
              </w:rPr>
              <w:t>3750</w:t>
            </w:r>
          </w:p>
        </w:tc>
      </w:tr>
    </w:tbl>
    <w:p w14:paraId="624A5290" w14:textId="61363B9C" w:rsidR="00D66983" w:rsidRPr="006245E0" w:rsidRDefault="00365FA6">
      <w:pPr>
        <w:rPr>
          <w:i/>
          <w:iCs/>
        </w:rPr>
      </w:pPr>
      <w:r w:rsidRPr="006245E0">
        <w:rPr>
          <w:i/>
          <w:iCs/>
        </w:rPr>
        <w:t>Table1. Showing the number and percentage of care leaver</w:t>
      </w:r>
      <w:r w:rsidR="0098281F">
        <w:rPr>
          <w:i/>
          <w:iCs/>
        </w:rPr>
        <w:t xml:space="preserve"> new entrants </w:t>
      </w:r>
      <w:r w:rsidRPr="006245E0">
        <w:rPr>
          <w:i/>
          <w:iCs/>
        </w:rPr>
        <w:t xml:space="preserve">at Aston in the different academic years. Also shows the amount of scholarship offered to care leavers in each entry year. Highlighted in red are the years where the amount offered to care leavers was lower. </w:t>
      </w:r>
    </w:p>
    <w:p w14:paraId="6D63D915" w14:textId="6F82238A" w:rsidR="00507994" w:rsidRPr="00591A02" w:rsidRDefault="00591A02" w:rsidP="00507994">
      <w:r w:rsidRPr="00591A02">
        <w:t>Table 1 shows lower recorded numbers/proportions of care leaver</w:t>
      </w:r>
      <w:r w:rsidR="0098281F">
        <w:t xml:space="preserve"> entrants</w:t>
      </w:r>
      <w:r w:rsidRPr="00591A02">
        <w:t xml:space="preserve"> in years where the scholarship amount offered was lower.</w:t>
      </w:r>
      <w:r>
        <w:t xml:space="preserve"> </w:t>
      </w:r>
      <w:r w:rsidR="00507994">
        <w:t>The change in scholarship policy in 2020</w:t>
      </w:r>
      <w:r w:rsidR="00D25345">
        <w:t>/</w:t>
      </w:r>
      <w:r>
        <w:t>2</w:t>
      </w:r>
      <w:r w:rsidR="00507994">
        <w:t>1 corresponded to a decrease in care leavers studying at Aston after two years of it increasing.</w:t>
      </w:r>
      <w:r w:rsidR="00D366A2">
        <w:t xml:space="preserve"> It is unclear what cause the increase in care leavers in 2024/5.</w:t>
      </w:r>
    </w:p>
    <w:p w14:paraId="3C40884F" w14:textId="77777777" w:rsidR="00E45752" w:rsidRDefault="00E45752"/>
    <w:tbl>
      <w:tblPr>
        <w:tblStyle w:val="TableGrid"/>
        <w:tblW w:w="0" w:type="auto"/>
        <w:tblLook w:val="04A0" w:firstRow="1" w:lastRow="0" w:firstColumn="1" w:lastColumn="0" w:noHBand="0" w:noVBand="1"/>
      </w:tblPr>
      <w:tblGrid>
        <w:gridCol w:w="2310"/>
        <w:gridCol w:w="2310"/>
        <w:gridCol w:w="2311"/>
        <w:gridCol w:w="2311"/>
      </w:tblGrid>
      <w:tr w:rsidR="00D66983" w14:paraId="6E161233" w14:textId="77777777" w:rsidTr="00B95BAB">
        <w:tc>
          <w:tcPr>
            <w:tcW w:w="2310" w:type="dxa"/>
          </w:tcPr>
          <w:p w14:paraId="6B7C53E9" w14:textId="77777777" w:rsidR="00D66983" w:rsidRDefault="00D66983"/>
        </w:tc>
        <w:tc>
          <w:tcPr>
            <w:tcW w:w="2310" w:type="dxa"/>
            <w:shd w:val="clear" w:color="auto" w:fill="D1D1D1" w:themeFill="background2" w:themeFillShade="E6"/>
          </w:tcPr>
          <w:p w14:paraId="1BABF05B" w14:textId="3A3E6F17" w:rsidR="00D66983" w:rsidRPr="00B95BAB" w:rsidRDefault="00D66983">
            <w:r w:rsidRPr="00B95BAB">
              <w:t>£0 Scholarship</w:t>
            </w:r>
          </w:p>
        </w:tc>
        <w:tc>
          <w:tcPr>
            <w:tcW w:w="2311" w:type="dxa"/>
            <w:shd w:val="clear" w:color="auto" w:fill="D1D1D1" w:themeFill="background2" w:themeFillShade="E6"/>
          </w:tcPr>
          <w:p w14:paraId="2E309D50" w14:textId="6FDE15B8" w:rsidR="00D66983" w:rsidRPr="00B95BAB" w:rsidRDefault="00D66983">
            <w:r w:rsidRPr="00B95BAB">
              <w:t>£500 Scholarship</w:t>
            </w:r>
          </w:p>
        </w:tc>
        <w:tc>
          <w:tcPr>
            <w:tcW w:w="2311" w:type="dxa"/>
            <w:shd w:val="clear" w:color="auto" w:fill="D1D1D1" w:themeFill="background2" w:themeFillShade="E6"/>
          </w:tcPr>
          <w:p w14:paraId="1A0FE021" w14:textId="72BC6511" w:rsidR="00D66983" w:rsidRPr="00B95BAB" w:rsidRDefault="00D66983">
            <w:r w:rsidRPr="00B95BAB">
              <w:t>£3750 Scholarship</w:t>
            </w:r>
          </w:p>
        </w:tc>
      </w:tr>
      <w:tr w:rsidR="00D66983" w14:paraId="758CD657" w14:textId="77777777" w:rsidTr="00B95BAB">
        <w:tc>
          <w:tcPr>
            <w:tcW w:w="2310" w:type="dxa"/>
            <w:shd w:val="clear" w:color="auto" w:fill="D1D1D1" w:themeFill="background2" w:themeFillShade="E6"/>
          </w:tcPr>
          <w:p w14:paraId="5FC521EA" w14:textId="69C518BC" w:rsidR="00D66983" w:rsidRDefault="00D66983">
            <w:r>
              <w:t>Care leaver</w:t>
            </w:r>
            <w:r w:rsidR="00B95BAB">
              <w:t xml:space="preserve"> (n)</w:t>
            </w:r>
          </w:p>
        </w:tc>
        <w:tc>
          <w:tcPr>
            <w:tcW w:w="2310" w:type="dxa"/>
          </w:tcPr>
          <w:p w14:paraId="28B303B9" w14:textId="41D2745A" w:rsidR="00D66983" w:rsidRDefault="00D66983">
            <w:r>
              <w:t>10</w:t>
            </w:r>
          </w:p>
        </w:tc>
        <w:tc>
          <w:tcPr>
            <w:tcW w:w="2311" w:type="dxa"/>
          </w:tcPr>
          <w:p w14:paraId="76A29164" w14:textId="7854748C" w:rsidR="00D66983" w:rsidRDefault="00D66983">
            <w:r>
              <w:t>68</w:t>
            </w:r>
          </w:p>
        </w:tc>
        <w:tc>
          <w:tcPr>
            <w:tcW w:w="2311" w:type="dxa"/>
          </w:tcPr>
          <w:p w14:paraId="55B0AA94" w14:textId="31861F9A" w:rsidR="00D66983" w:rsidRDefault="00D66983">
            <w:r>
              <w:t>598</w:t>
            </w:r>
          </w:p>
        </w:tc>
      </w:tr>
      <w:tr w:rsidR="00D66983" w14:paraId="0B02DB99" w14:textId="77777777" w:rsidTr="00B95BAB">
        <w:tc>
          <w:tcPr>
            <w:tcW w:w="2310" w:type="dxa"/>
            <w:shd w:val="clear" w:color="auto" w:fill="D1D1D1" w:themeFill="background2" w:themeFillShade="E6"/>
          </w:tcPr>
          <w:p w14:paraId="3707BAFF" w14:textId="657432E4" w:rsidR="00D66983" w:rsidRDefault="00D66983">
            <w:r>
              <w:t>Not care leaver/ unknown</w:t>
            </w:r>
            <w:r w:rsidR="00B95BAB">
              <w:t xml:space="preserve"> (n)</w:t>
            </w:r>
          </w:p>
        </w:tc>
        <w:tc>
          <w:tcPr>
            <w:tcW w:w="2310" w:type="dxa"/>
          </w:tcPr>
          <w:p w14:paraId="3E9D97FC" w14:textId="76129F72" w:rsidR="00D66983" w:rsidRDefault="00D66983">
            <w:r>
              <w:t>7</w:t>
            </w:r>
            <w:r w:rsidR="00B95BAB">
              <w:t>,</w:t>
            </w:r>
            <w:r>
              <w:t>083</w:t>
            </w:r>
          </w:p>
        </w:tc>
        <w:tc>
          <w:tcPr>
            <w:tcW w:w="2311" w:type="dxa"/>
          </w:tcPr>
          <w:p w14:paraId="17DCE007" w14:textId="437BCD74" w:rsidR="00D66983" w:rsidRDefault="00D66983" w:rsidP="00D66983">
            <w:pPr>
              <w:rPr>
                <w:rFonts w:ascii="Arial" w:hAnsi="Arial" w:cs="Arial"/>
                <w:color w:val="000000"/>
                <w:sz w:val="20"/>
                <w:szCs w:val="20"/>
              </w:rPr>
            </w:pPr>
            <w:r>
              <w:rPr>
                <w:rFonts w:ascii="Arial" w:hAnsi="Arial" w:cs="Arial"/>
                <w:color w:val="000000"/>
                <w:sz w:val="20"/>
                <w:szCs w:val="20"/>
              </w:rPr>
              <w:t>14</w:t>
            </w:r>
            <w:r w:rsidR="00B95BAB">
              <w:rPr>
                <w:rFonts w:ascii="Arial" w:hAnsi="Arial" w:cs="Arial"/>
                <w:color w:val="000000"/>
                <w:sz w:val="20"/>
                <w:szCs w:val="20"/>
              </w:rPr>
              <w:t>,</w:t>
            </w:r>
            <w:r>
              <w:rPr>
                <w:rFonts w:ascii="Arial" w:hAnsi="Arial" w:cs="Arial"/>
                <w:color w:val="000000"/>
                <w:sz w:val="20"/>
                <w:szCs w:val="20"/>
              </w:rPr>
              <w:t>327</w:t>
            </w:r>
          </w:p>
          <w:p w14:paraId="3EDC8619" w14:textId="77777777" w:rsidR="00D66983" w:rsidRDefault="00D66983"/>
        </w:tc>
        <w:tc>
          <w:tcPr>
            <w:tcW w:w="2311" w:type="dxa"/>
          </w:tcPr>
          <w:p w14:paraId="2D1147F9" w14:textId="7F85AA7C" w:rsidR="00D66983" w:rsidRDefault="00D66983">
            <w:r>
              <w:t>56</w:t>
            </w:r>
            <w:r w:rsidR="00B95BAB">
              <w:t>,</w:t>
            </w:r>
            <w:r>
              <w:t>231</w:t>
            </w:r>
          </w:p>
        </w:tc>
      </w:tr>
    </w:tbl>
    <w:p w14:paraId="5ABB01A5" w14:textId="14E41561" w:rsidR="00365FA6" w:rsidRPr="006245E0" w:rsidRDefault="00365FA6">
      <w:pPr>
        <w:rPr>
          <w:i/>
          <w:iCs/>
        </w:rPr>
      </w:pPr>
      <w:r w:rsidRPr="006245E0">
        <w:rPr>
          <w:i/>
          <w:iCs/>
        </w:rPr>
        <w:t xml:space="preserve">Table 2. Showing the number of Care leavers and </w:t>
      </w:r>
      <w:r w:rsidR="00B95BAB" w:rsidRPr="006245E0">
        <w:rPr>
          <w:i/>
          <w:iCs/>
        </w:rPr>
        <w:t>non-care</w:t>
      </w:r>
      <w:r w:rsidRPr="006245E0">
        <w:rPr>
          <w:i/>
          <w:iCs/>
        </w:rPr>
        <w:t xml:space="preserve"> leavers studying at Aston in years in which different amounts of scholarship were offered to care leavers. </w:t>
      </w:r>
    </w:p>
    <w:p w14:paraId="29B94B46" w14:textId="7B1A6D63" w:rsidR="00CE6A04" w:rsidRDefault="00E45752">
      <w:r>
        <w:t xml:space="preserve">Table 2 shows that </w:t>
      </w:r>
      <w:r w:rsidR="00D66983">
        <w:t xml:space="preserve">Care leaver status of </w:t>
      </w:r>
      <w:r w:rsidR="0098281F">
        <w:t xml:space="preserve">new entry </w:t>
      </w:r>
      <w:r w:rsidR="00D66983">
        <w:t>students is associated with the amount of scholarship in the year of entry</w:t>
      </w:r>
      <w:r w:rsidR="00367FF1">
        <w:t xml:space="preserve">. </w:t>
      </w:r>
      <w:r w:rsidR="00507994">
        <w:t xml:space="preserve">When the value of scholarship was higher, more </w:t>
      </w:r>
      <w:r w:rsidR="00591A02">
        <w:t>care leavers</w:t>
      </w:r>
      <w:r w:rsidR="00507994">
        <w:t xml:space="preserve"> </w:t>
      </w:r>
      <w:r w:rsidR="00CD2A46">
        <w:t>started studying</w:t>
      </w:r>
      <w:r w:rsidR="006245E0">
        <w:t xml:space="preserve"> at Aston. </w:t>
      </w:r>
      <w:r w:rsidR="00367FF1">
        <w:t>This associated was tested and was significant</w:t>
      </w:r>
      <w:r w:rsidR="00D66983">
        <w:t xml:space="preserve"> (</w:t>
      </w:r>
      <m:oMath>
        <m:sSup>
          <m:sSupPr>
            <m:ctrlPr>
              <w:rPr>
                <w:rFonts w:ascii="Cambria Math" w:hAnsi="Cambria Math"/>
              </w:rPr>
            </m:ctrlPr>
          </m:sSupPr>
          <m:e>
            <m:r>
              <w:rPr>
                <w:rFonts w:ascii="Cambria Math" w:hAnsi="Cambria Math"/>
              </w:rPr>
              <m:t>χ</m:t>
            </m:r>
          </m:e>
          <m:sup>
            <m:r>
              <w:rPr>
                <w:rFonts w:ascii="Cambria Math" w:hAnsi="Cambria Math"/>
              </w:rPr>
              <m:t>2</m:t>
            </m:r>
          </m:sup>
        </m:sSup>
      </m:oMath>
      <w:r w:rsidR="00D66983">
        <w:t xml:space="preserve"> =92.67, df=2, p&lt;.001)</w:t>
      </w:r>
      <w:r w:rsidR="00CE6A04">
        <w:t xml:space="preserve">. </w:t>
      </w:r>
    </w:p>
    <w:p w14:paraId="4D1ABE6B" w14:textId="77777777" w:rsidR="006245E0" w:rsidRDefault="006245E0"/>
    <w:p w14:paraId="5A5879DB" w14:textId="208CA116" w:rsidR="006245E0" w:rsidRPr="006245E0" w:rsidRDefault="006245E0" w:rsidP="00507994">
      <w:pPr>
        <w:rPr>
          <w:rFonts w:ascii="Arial" w:eastAsiaTheme="majorEastAsia" w:hAnsi="Arial" w:cs="Arial"/>
          <w:b/>
          <w:bCs/>
          <w:color w:val="000000" w:themeColor="text1"/>
          <w:sz w:val="20"/>
          <w:szCs w:val="20"/>
        </w:rPr>
      </w:pPr>
      <w:r w:rsidRPr="006245E0">
        <w:rPr>
          <w:rFonts w:ascii="Arial" w:eastAsiaTheme="majorEastAsia" w:hAnsi="Arial" w:cs="Arial"/>
          <w:b/>
          <w:bCs/>
          <w:color w:val="000000" w:themeColor="text1"/>
          <w:sz w:val="20"/>
          <w:szCs w:val="20"/>
        </w:rPr>
        <w:t>Conclusion:</w:t>
      </w:r>
    </w:p>
    <w:p w14:paraId="119D7628" w14:textId="10A013A7" w:rsidR="00591A02" w:rsidRPr="00591A02" w:rsidRDefault="00591A02" w:rsidP="00591A02">
      <w:r w:rsidRPr="00591A02">
        <w:t>Scholarship amount category is associated with recorded care leaver status; further work is needed to assess impact on continuation and belonging.</w:t>
      </w:r>
    </w:p>
    <w:p w14:paraId="35FB2987" w14:textId="66882FC5" w:rsidR="006245E0" w:rsidRDefault="006245E0" w:rsidP="00591A02"/>
    <w:sectPr w:rsidR="00624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8242F"/>
    <w:multiLevelType w:val="hybridMultilevel"/>
    <w:tmpl w:val="AC52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D1C9B"/>
    <w:multiLevelType w:val="multilevel"/>
    <w:tmpl w:val="3A42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576100">
    <w:abstractNumId w:val="0"/>
  </w:num>
  <w:num w:numId="2" w16cid:durableId="90356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7277"/>
    <w:rsid w:val="000D5937"/>
    <w:rsid w:val="000F5306"/>
    <w:rsid w:val="001D34B8"/>
    <w:rsid w:val="00365FA6"/>
    <w:rsid w:val="00367FF1"/>
    <w:rsid w:val="003C51EF"/>
    <w:rsid w:val="004348AE"/>
    <w:rsid w:val="004B43A9"/>
    <w:rsid w:val="004F26F8"/>
    <w:rsid w:val="00507994"/>
    <w:rsid w:val="00591A02"/>
    <w:rsid w:val="00620DCB"/>
    <w:rsid w:val="006245E0"/>
    <w:rsid w:val="008B47D2"/>
    <w:rsid w:val="00941D54"/>
    <w:rsid w:val="0098281F"/>
    <w:rsid w:val="009C3B60"/>
    <w:rsid w:val="00A10B64"/>
    <w:rsid w:val="00AA6A1B"/>
    <w:rsid w:val="00AD6CE7"/>
    <w:rsid w:val="00AE17B7"/>
    <w:rsid w:val="00B76CB5"/>
    <w:rsid w:val="00B95BAB"/>
    <w:rsid w:val="00B97277"/>
    <w:rsid w:val="00C5280A"/>
    <w:rsid w:val="00CD2A46"/>
    <w:rsid w:val="00CE6A04"/>
    <w:rsid w:val="00D25345"/>
    <w:rsid w:val="00D366A2"/>
    <w:rsid w:val="00D66983"/>
    <w:rsid w:val="00E45752"/>
    <w:rsid w:val="00EB7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7689"/>
  <w15:chartTrackingRefBased/>
  <w15:docId w15:val="{6C7A5658-BD2D-4D44-B80B-BA99B1DD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277"/>
    <w:rPr>
      <w:rFonts w:eastAsiaTheme="majorEastAsia" w:cstheme="majorBidi"/>
      <w:color w:val="272727" w:themeColor="text1" w:themeTint="D8"/>
    </w:rPr>
  </w:style>
  <w:style w:type="paragraph" w:styleId="Title">
    <w:name w:val="Title"/>
    <w:basedOn w:val="Normal"/>
    <w:next w:val="Normal"/>
    <w:link w:val="TitleChar"/>
    <w:uiPriority w:val="10"/>
    <w:qFormat/>
    <w:rsid w:val="00B9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277"/>
    <w:pPr>
      <w:spacing w:before="160"/>
      <w:jc w:val="center"/>
    </w:pPr>
    <w:rPr>
      <w:i/>
      <w:iCs/>
      <w:color w:val="404040" w:themeColor="text1" w:themeTint="BF"/>
    </w:rPr>
  </w:style>
  <w:style w:type="character" w:customStyle="1" w:styleId="QuoteChar">
    <w:name w:val="Quote Char"/>
    <w:basedOn w:val="DefaultParagraphFont"/>
    <w:link w:val="Quote"/>
    <w:uiPriority w:val="29"/>
    <w:rsid w:val="00B97277"/>
    <w:rPr>
      <w:i/>
      <w:iCs/>
      <w:color w:val="404040" w:themeColor="text1" w:themeTint="BF"/>
    </w:rPr>
  </w:style>
  <w:style w:type="paragraph" w:styleId="ListParagraph">
    <w:name w:val="List Paragraph"/>
    <w:basedOn w:val="Normal"/>
    <w:uiPriority w:val="34"/>
    <w:qFormat/>
    <w:rsid w:val="00B97277"/>
    <w:pPr>
      <w:ind w:left="720"/>
      <w:contextualSpacing/>
    </w:pPr>
  </w:style>
  <w:style w:type="character" w:styleId="IntenseEmphasis">
    <w:name w:val="Intense Emphasis"/>
    <w:basedOn w:val="DefaultParagraphFont"/>
    <w:uiPriority w:val="21"/>
    <w:qFormat/>
    <w:rsid w:val="00B97277"/>
    <w:rPr>
      <w:i/>
      <w:iCs/>
      <w:color w:val="0F4761" w:themeColor="accent1" w:themeShade="BF"/>
    </w:rPr>
  </w:style>
  <w:style w:type="paragraph" w:styleId="IntenseQuote">
    <w:name w:val="Intense Quote"/>
    <w:basedOn w:val="Normal"/>
    <w:next w:val="Normal"/>
    <w:link w:val="IntenseQuoteChar"/>
    <w:uiPriority w:val="30"/>
    <w:qFormat/>
    <w:rsid w:val="00B9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277"/>
    <w:rPr>
      <w:i/>
      <w:iCs/>
      <w:color w:val="0F4761" w:themeColor="accent1" w:themeShade="BF"/>
    </w:rPr>
  </w:style>
  <w:style w:type="character" w:styleId="IntenseReference">
    <w:name w:val="Intense Reference"/>
    <w:basedOn w:val="DefaultParagraphFont"/>
    <w:uiPriority w:val="32"/>
    <w:qFormat/>
    <w:rsid w:val="00B97277"/>
    <w:rPr>
      <w:b/>
      <w:bCs/>
      <w:smallCaps/>
      <w:color w:val="0F4761" w:themeColor="accent1" w:themeShade="BF"/>
      <w:spacing w:val="5"/>
    </w:rPr>
  </w:style>
  <w:style w:type="table" w:styleId="TableGrid">
    <w:name w:val="Table Grid"/>
    <w:basedOn w:val="TableNormal"/>
    <w:uiPriority w:val="39"/>
    <w:rsid w:val="00D6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67FF1"/>
    <w:pPr>
      <w:spacing w:after="0" w:line="240" w:lineRule="auto"/>
    </w:pPr>
    <w:rPr>
      <w:sz w:val="24"/>
      <w:szCs w:val="24"/>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0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423</Words>
  <Characters>2691</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 Moores</dc:creator>
  <cp:keywords/>
  <dc:description/>
  <cp:lastModifiedBy>Liz J Moores</cp:lastModifiedBy>
  <cp:revision>25</cp:revision>
  <dcterms:created xsi:type="dcterms:W3CDTF">2026-04-20T11:07:00Z</dcterms:created>
  <dcterms:modified xsi:type="dcterms:W3CDTF">2026-04-27T13:35:00Z</dcterms:modified>
</cp:coreProperties>
</file>