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49E4" w14:textId="77777777" w:rsidR="00B76CB5" w:rsidRDefault="00B76CB5"/>
    <w:p w14:paraId="400AE11A" w14:textId="258EEB09" w:rsidR="00CF005A" w:rsidRDefault="00CF005A" w:rsidP="00CF005A">
      <w:pPr>
        <w:jc w:val="center"/>
        <w:rPr>
          <w:b/>
          <w:bCs/>
        </w:rPr>
      </w:pPr>
      <w:r>
        <w:rPr>
          <w:b/>
          <w:bCs/>
        </w:rPr>
        <w:t>Analyses of the impact of c</w:t>
      </w:r>
      <w:r w:rsidRPr="00CD2292">
        <w:rPr>
          <w:b/>
          <w:bCs/>
        </w:rPr>
        <w:t xml:space="preserve">ontextual </w:t>
      </w:r>
      <w:r>
        <w:rPr>
          <w:b/>
          <w:bCs/>
        </w:rPr>
        <w:t>o</w:t>
      </w:r>
      <w:r w:rsidRPr="00CD2292">
        <w:rPr>
          <w:b/>
          <w:bCs/>
        </w:rPr>
        <w:t>ffer</w:t>
      </w:r>
      <w:r>
        <w:rPr>
          <w:b/>
          <w:bCs/>
        </w:rPr>
        <w:t>s</w:t>
      </w:r>
      <w:r w:rsidR="00DC4999">
        <w:rPr>
          <w:b/>
          <w:bCs/>
        </w:rPr>
        <w:t xml:space="preserve"> at Aston University</w:t>
      </w:r>
    </w:p>
    <w:p w14:paraId="0C6FF041" w14:textId="5091BE52" w:rsidR="00CF005A" w:rsidRDefault="000C7321" w:rsidP="000C7321">
      <w:pPr>
        <w:rPr>
          <w:b/>
          <w:bCs/>
        </w:rPr>
      </w:pPr>
      <w:r>
        <w:rPr>
          <w:b/>
          <w:bCs/>
        </w:rPr>
        <w:t>Introduction</w:t>
      </w:r>
    </w:p>
    <w:p w14:paraId="1A82185D" w14:textId="4C289BBE" w:rsidR="000C7321" w:rsidRDefault="000C7321" w:rsidP="000C7321">
      <w:r w:rsidRPr="000C7321">
        <w:t xml:space="preserve">Aston’s Access and Participation Plan </w:t>
      </w:r>
      <w:r w:rsidR="00DE2A5F">
        <w:t xml:space="preserve">(2025-9) </w:t>
      </w:r>
      <w:r>
        <w:t>has targets to:</w:t>
      </w:r>
    </w:p>
    <w:p w14:paraId="0BED70D8" w14:textId="77777777" w:rsidR="000C7321" w:rsidRDefault="000C7321" w:rsidP="000C7321">
      <w:pPr>
        <w:pStyle w:val="ListParagraph"/>
        <w:numPr>
          <w:ilvl w:val="0"/>
          <w:numId w:val="5"/>
        </w:numPr>
      </w:pPr>
      <w:r w:rsidRPr="000C7321">
        <w:t xml:space="preserve">Target 1.1 (PTA_1). Maintain the proportion of students accessing Aston University in receipt of FSM (currently 26%) through to 2028-29. </w:t>
      </w:r>
    </w:p>
    <w:p w14:paraId="2F0EC5C4" w14:textId="77777777" w:rsidR="000C7321" w:rsidRDefault="000C7321" w:rsidP="000C7321">
      <w:pPr>
        <w:pStyle w:val="ListParagraph"/>
        <w:numPr>
          <w:ilvl w:val="0"/>
          <w:numId w:val="5"/>
        </w:numPr>
      </w:pPr>
      <w:r w:rsidRPr="000C7321">
        <w:t>Target 1.2 (PTA_2). Maintain the proportion of students accessing Aston University from an IMD Q 1-2 background (currently 65.8%) through to 2028-29.</w:t>
      </w:r>
    </w:p>
    <w:p w14:paraId="64C5CBFD" w14:textId="77777777" w:rsidR="000C7321" w:rsidRDefault="000C7321" w:rsidP="000C7321">
      <w:pPr>
        <w:pStyle w:val="ListParagraph"/>
        <w:numPr>
          <w:ilvl w:val="0"/>
          <w:numId w:val="5"/>
        </w:numPr>
      </w:pPr>
      <w:r w:rsidRPr="000C7321">
        <w:t>Target 2 (PTA_3). Increase the number of students progressing into Aston University who have declared a disability from 8.5% to 10.5% by 2028-29 through including disabled students within our contextual offer scheme and implementing the Disabled Students’ Commitment.</w:t>
      </w:r>
    </w:p>
    <w:p w14:paraId="132F964F" w14:textId="41E09D25" w:rsidR="000C7321" w:rsidRDefault="000C7321" w:rsidP="000C7321">
      <w:r>
        <w:t xml:space="preserve">One of the ways Aston plans to do this is by employing contextual admissions. Contextual offers lower the offer grades to students meeting various eligibility criteria in order to acknowledge the context in which they achieve their qualifications. A theory of change model below illustrates how this is expected to increase and maintain enrolment of this group of students. </w:t>
      </w:r>
    </w:p>
    <w:p w14:paraId="2DEDDE5D" w14:textId="137B8596" w:rsidR="000C7321" w:rsidRDefault="000C7321" w:rsidP="00CF005A">
      <w:pPr>
        <w:jc w:val="center"/>
        <w:rPr>
          <w:b/>
          <w:bCs/>
        </w:rPr>
      </w:pPr>
      <w:r>
        <w:rPr>
          <w:b/>
          <w:bCs/>
          <w:noProof/>
        </w:rPr>
        <w:drawing>
          <wp:inline distT="0" distB="0" distL="0" distR="0" wp14:anchorId="0EE8B8EE" wp14:editId="17E83095">
            <wp:extent cx="5264150" cy="2412979"/>
            <wp:effectExtent l="0" t="0" r="0" b="6985"/>
            <wp:docPr id="1002548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264" cy="2415782"/>
                    </a:xfrm>
                    <a:prstGeom prst="rect">
                      <a:avLst/>
                    </a:prstGeom>
                    <a:noFill/>
                    <a:ln>
                      <a:noFill/>
                    </a:ln>
                  </pic:spPr>
                </pic:pic>
              </a:graphicData>
            </a:graphic>
          </wp:inline>
        </w:drawing>
      </w:r>
    </w:p>
    <w:p w14:paraId="0A320997" w14:textId="3E967A15" w:rsidR="00CF005A" w:rsidRDefault="00E328C3" w:rsidP="00CF005A">
      <w:r>
        <w:t>This paper presents</w:t>
      </w:r>
      <w:r w:rsidR="000C7321">
        <w:t xml:space="preserve"> an</w:t>
      </w:r>
      <w:r>
        <w:t xml:space="preserve"> investigation of </w:t>
      </w:r>
      <w:r w:rsidR="000C7321">
        <w:t>our theory of change. More specifically, of whether (i) applicants receiving contextual offers find Aston more attractive as a place to study when receiving a contextual offer</w:t>
      </w:r>
      <w:r w:rsidR="00A42854">
        <w:t>,</w:t>
      </w:r>
      <w:r w:rsidR="000C7321">
        <w:t xml:space="preserve"> (ii) whether a greater proportion of students accept contextual offers vs. standard offers</w:t>
      </w:r>
      <w:r w:rsidR="00A42854">
        <w:t>,</w:t>
      </w:r>
      <w:r w:rsidR="000C7321">
        <w:t xml:space="preserve"> and (iii) whether or not a greater proportion of students who receive contextual offers ultimately </w:t>
      </w:r>
      <w:r w:rsidR="00A42854">
        <w:t xml:space="preserve">enrol onto Aston programmes. </w:t>
      </w:r>
      <w:r w:rsidR="003B5A61">
        <w:t xml:space="preserve">We also investigated (iv) the </w:t>
      </w:r>
      <w:r w:rsidR="003B5A61" w:rsidRPr="003B5A61">
        <w:t>impact of contextual offers on FSM eligible enrolment and on enrolment of students declaring a disability.</w:t>
      </w:r>
    </w:p>
    <w:p w14:paraId="6ADCA2AE" w14:textId="61BF25C0" w:rsidR="00CD2292" w:rsidRPr="00A42854" w:rsidRDefault="00A42854">
      <w:pPr>
        <w:rPr>
          <w:b/>
          <w:bCs/>
        </w:rPr>
      </w:pPr>
      <w:r w:rsidRPr="00A42854">
        <w:rPr>
          <w:b/>
          <w:bCs/>
          <w:noProof/>
        </w:rPr>
        <w:t>i)</w:t>
      </w:r>
      <w:r w:rsidR="00310214" w:rsidRPr="00A42854">
        <w:rPr>
          <w:b/>
          <w:bCs/>
        </w:rPr>
        <w:t xml:space="preserve"> Do applicants in targeted groups feel that their UCAS offer from Aston is more attainable and attractive?</w:t>
      </w:r>
    </w:p>
    <w:p w14:paraId="0B13FE72" w14:textId="1F1BE436" w:rsidR="0073496D" w:rsidRPr="00C338DD" w:rsidRDefault="0073496D">
      <w:r w:rsidRPr="00C338DD">
        <w:rPr>
          <w:b/>
          <w:bCs/>
        </w:rPr>
        <w:t>Hypothesis:</w:t>
      </w:r>
      <w:r w:rsidRPr="00C338DD">
        <w:t xml:space="preserve"> There will be a significant association between the type of offer an applicant receives (standard/ contextual/ unconditional) and how positively they feel about it (made Aston more appealing/ made Aston less appealing/ had no effect).</w:t>
      </w:r>
    </w:p>
    <w:p w14:paraId="5678888D" w14:textId="543C34D8" w:rsidR="00310214" w:rsidRPr="00C338DD" w:rsidRDefault="00310214">
      <w:r w:rsidRPr="00C338DD">
        <w:rPr>
          <w:b/>
          <w:bCs/>
        </w:rPr>
        <w:lastRenderedPageBreak/>
        <w:t>Method:</w:t>
      </w:r>
      <w:r w:rsidRPr="00C338DD">
        <w:t xml:space="preserve"> Market research survey given to acceptors and decliners of Aston applicants (a different survey for each group). </w:t>
      </w:r>
      <w:r w:rsidR="001E1B8A" w:rsidRPr="00C338DD">
        <w:t>The su</w:t>
      </w:r>
      <w:r w:rsidRPr="00C338DD">
        <w:t xml:space="preserve">rvey </w:t>
      </w:r>
      <w:r w:rsidR="001E1B8A" w:rsidRPr="00C338DD">
        <w:t xml:space="preserve">was </w:t>
      </w:r>
      <w:r w:rsidRPr="00C338DD">
        <w:t xml:space="preserve">sent to </w:t>
      </w:r>
      <w:r w:rsidR="001E1B8A" w:rsidRPr="00C338DD">
        <w:t>around 20,391</w:t>
      </w:r>
      <w:r w:rsidRPr="00C338DD">
        <w:t xml:space="preserve"> applicants</w:t>
      </w:r>
      <w:r w:rsidR="001E1B8A" w:rsidRPr="00C338DD">
        <w:t xml:space="preserve"> – all applicants that had responded at the time the survey was live</w:t>
      </w:r>
      <w:r w:rsidRPr="00C338DD">
        <w:t>. 1</w:t>
      </w:r>
      <w:r w:rsidR="00C338DD">
        <w:t>,</w:t>
      </w:r>
      <w:r w:rsidRPr="00C338DD">
        <w:t>571 responded</w:t>
      </w:r>
      <w:r w:rsidR="0073496D" w:rsidRPr="00C338DD">
        <w:t xml:space="preserve"> (</w:t>
      </w:r>
      <w:r w:rsidR="001E1B8A" w:rsidRPr="00C338DD">
        <w:t>7</w:t>
      </w:r>
      <w:r w:rsidR="0073496D" w:rsidRPr="00C338DD">
        <w:t>% response rate)</w:t>
      </w:r>
      <w:r w:rsidRPr="00C338DD">
        <w:t>, but not all completed all of the questions and some did not know what kind of offer that they had received.</w:t>
      </w:r>
    </w:p>
    <w:p w14:paraId="06B10B2A" w14:textId="7F43CCC4" w:rsidR="00310214" w:rsidRPr="00C338DD" w:rsidRDefault="00310214">
      <w:r w:rsidRPr="00C338DD">
        <w:t xml:space="preserve">Questions analysed for this evaluation included: </w:t>
      </w:r>
    </w:p>
    <w:p w14:paraId="6EA9C23E" w14:textId="35F3415A" w:rsidR="00310214" w:rsidRPr="00C338DD" w:rsidRDefault="00310214" w:rsidP="00310214">
      <w:pPr>
        <w:pStyle w:val="ListParagraph"/>
        <w:numPr>
          <w:ilvl w:val="0"/>
          <w:numId w:val="1"/>
        </w:num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b/>
          <w:bCs/>
          <w:color w:val="000000"/>
          <w:kern w:val="0"/>
          <w:lang w:eastAsia="en-GB"/>
          <w14:ligatures w14:val="none"/>
        </w:rPr>
        <w:t xml:space="preserve">For decliners: </w:t>
      </w:r>
      <w:r w:rsidRPr="00C338DD">
        <w:rPr>
          <w:rFonts w:ascii="Aptos Narrow" w:eastAsia="Times New Roman" w:hAnsi="Aptos Narrow" w:cs="Times New Roman"/>
          <w:color w:val="000000"/>
          <w:kern w:val="0"/>
          <w:lang w:eastAsia="en-GB"/>
          <w14:ligatures w14:val="none"/>
        </w:rPr>
        <w:t>What type of offer did you receive from Aston University?</w:t>
      </w:r>
      <w:r w:rsidRPr="00C338DD">
        <w:rPr>
          <w:rFonts w:ascii="Aptos Narrow" w:eastAsia="Times New Roman" w:hAnsi="Aptos Narrow" w:cs="Times New Roman"/>
          <w:b/>
          <w:bCs/>
          <w:color w:val="000000"/>
          <w:kern w:val="0"/>
          <w:lang w:eastAsia="en-GB"/>
          <w14:ligatures w14:val="none"/>
        </w:rPr>
        <w:t xml:space="preserve"> For acceptors: </w:t>
      </w:r>
      <w:r w:rsidRPr="00C338DD">
        <w:rPr>
          <w:rFonts w:ascii="Aptos Narrow" w:eastAsia="Times New Roman" w:hAnsi="Aptos Narrow" w:cs="Times New Roman"/>
          <w:color w:val="000000"/>
          <w:kern w:val="0"/>
          <w:lang w:eastAsia="en-GB"/>
          <w14:ligatures w14:val="none"/>
        </w:rPr>
        <w:t>What type of offer did you accept as your firm choice</w:t>
      </w:r>
      <w:r w:rsidR="002B588A" w:rsidRPr="00C338DD">
        <w:rPr>
          <w:rFonts w:ascii="Aptos Narrow" w:eastAsia="Times New Roman" w:hAnsi="Aptos Narrow" w:cs="Times New Roman"/>
          <w:color w:val="000000"/>
          <w:kern w:val="0"/>
          <w:lang w:eastAsia="en-GB"/>
          <w14:ligatures w14:val="none"/>
        </w:rPr>
        <w:t>? And What type of offer did you accept as you</w:t>
      </w:r>
      <w:r w:rsidR="0073496D" w:rsidRPr="00C338DD">
        <w:rPr>
          <w:rFonts w:ascii="Aptos Narrow" w:eastAsia="Times New Roman" w:hAnsi="Aptos Narrow" w:cs="Times New Roman"/>
          <w:color w:val="000000"/>
          <w:kern w:val="0"/>
          <w:lang w:eastAsia="en-GB"/>
          <w14:ligatures w14:val="none"/>
        </w:rPr>
        <w:t>r</w:t>
      </w:r>
      <w:r w:rsidR="002B588A" w:rsidRPr="00C338DD">
        <w:rPr>
          <w:rFonts w:ascii="Aptos Narrow" w:eastAsia="Times New Roman" w:hAnsi="Aptos Narrow" w:cs="Times New Roman"/>
          <w:color w:val="000000"/>
          <w:kern w:val="0"/>
          <w:lang w:eastAsia="en-GB"/>
          <w14:ligatures w14:val="none"/>
        </w:rPr>
        <w:t xml:space="preserve"> insurance choice? </w:t>
      </w:r>
    </w:p>
    <w:p w14:paraId="3D6A63C3" w14:textId="2E4D112C" w:rsidR="00310214" w:rsidRPr="00C338DD" w:rsidRDefault="00310214" w:rsidP="00310214">
      <w:pPr>
        <w:pStyle w:val="ListParagraph"/>
        <w:numPr>
          <w:ilvl w:val="0"/>
          <w:numId w:val="1"/>
        </w:num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How did the offer you received from Aston University affect your views on studying there? (options: had no effect/ made Aston more appealing/ made Aston less appealing)</w:t>
      </w:r>
    </w:p>
    <w:p w14:paraId="78E2B757" w14:textId="64183D6F" w:rsidR="00310214" w:rsidRPr="00C338DD" w:rsidRDefault="00310214" w:rsidP="00310214">
      <w:pPr>
        <w:pStyle w:val="ListParagraph"/>
        <w:numPr>
          <w:ilvl w:val="0"/>
          <w:numId w:val="1"/>
        </w:num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Demographic questions including sex, age and disability status</w:t>
      </w:r>
    </w:p>
    <w:p w14:paraId="68C90439" w14:textId="77777777" w:rsidR="002B588A" w:rsidRPr="00C338DD" w:rsidRDefault="002B588A" w:rsidP="002B588A">
      <w:pPr>
        <w:spacing w:after="0" w:line="240" w:lineRule="auto"/>
        <w:rPr>
          <w:rFonts w:ascii="Aptos Narrow" w:eastAsia="Times New Roman" w:hAnsi="Aptos Narrow" w:cs="Times New Roman"/>
          <w:color w:val="000000"/>
          <w:kern w:val="0"/>
          <w:lang w:eastAsia="en-GB"/>
          <w14:ligatures w14:val="none"/>
        </w:rPr>
      </w:pPr>
    </w:p>
    <w:p w14:paraId="64759699" w14:textId="37672B1F" w:rsidR="002B588A" w:rsidRPr="00C338DD" w:rsidRDefault="002B588A" w:rsidP="002B588A">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For the first question 2 variables w</w:t>
      </w:r>
      <w:r w:rsidR="0073496D" w:rsidRPr="00C338DD">
        <w:rPr>
          <w:rFonts w:ascii="Aptos Narrow" w:eastAsia="Times New Roman" w:hAnsi="Aptos Narrow" w:cs="Times New Roman"/>
          <w:color w:val="000000"/>
          <w:kern w:val="0"/>
          <w:lang w:eastAsia="en-GB"/>
          <w14:ligatures w14:val="none"/>
        </w:rPr>
        <w:t xml:space="preserve">ere </w:t>
      </w:r>
      <w:r w:rsidRPr="00C338DD">
        <w:rPr>
          <w:rFonts w:ascii="Aptos Narrow" w:eastAsia="Times New Roman" w:hAnsi="Aptos Narrow" w:cs="Times New Roman"/>
          <w:color w:val="000000"/>
          <w:kern w:val="0"/>
          <w:lang w:eastAsia="en-GB"/>
          <w14:ligatures w14:val="none"/>
        </w:rPr>
        <w:t>created to indicate:</w:t>
      </w:r>
    </w:p>
    <w:p w14:paraId="2D1C02FE" w14:textId="58A0662D" w:rsidR="002B588A" w:rsidRPr="00C338DD" w:rsidRDefault="002B588A" w:rsidP="002B588A">
      <w:pPr>
        <w:pStyle w:val="ListParagraph"/>
        <w:numPr>
          <w:ilvl w:val="0"/>
          <w:numId w:val="2"/>
        </w:num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The applicant’s decision for Aston (firm/ decline/ insurance)</w:t>
      </w:r>
    </w:p>
    <w:p w14:paraId="751A2FF1" w14:textId="6151AB32" w:rsidR="002B588A" w:rsidRPr="00C338DD" w:rsidRDefault="002B588A" w:rsidP="002B588A">
      <w:pPr>
        <w:pStyle w:val="ListParagraph"/>
        <w:numPr>
          <w:ilvl w:val="0"/>
          <w:numId w:val="2"/>
        </w:num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The applicant’s offer received (standard/ contextual/ unconditional)</w:t>
      </w:r>
    </w:p>
    <w:p w14:paraId="5AA06CD2" w14:textId="77777777" w:rsidR="001E1B8A" w:rsidRPr="00C338DD" w:rsidRDefault="001E1B8A" w:rsidP="001E1B8A">
      <w:pPr>
        <w:spacing w:after="0" w:line="240" w:lineRule="auto"/>
        <w:rPr>
          <w:rFonts w:ascii="Aptos Narrow" w:eastAsia="Times New Roman" w:hAnsi="Aptos Narrow" w:cs="Times New Roman"/>
          <w:color w:val="000000"/>
          <w:kern w:val="0"/>
          <w:lang w:eastAsia="en-GB"/>
          <w14:ligatures w14:val="none"/>
        </w:rPr>
      </w:pPr>
    </w:p>
    <w:p w14:paraId="6820EAB3" w14:textId="3D746452" w:rsidR="001E1B8A" w:rsidRPr="00C338DD" w:rsidRDefault="001E1B8A" w:rsidP="001E1B8A">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Data were omitted where students either did not respond, or did not know/ could not remember what kind of offer they had received</w:t>
      </w:r>
    </w:p>
    <w:p w14:paraId="46F4B4EA" w14:textId="77777777" w:rsidR="0073496D" w:rsidRPr="00C338DD" w:rsidRDefault="0073496D" w:rsidP="0073496D">
      <w:pPr>
        <w:spacing w:after="0" w:line="240" w:lineRule="auto"/>
        <w:rPr>
          <w:rFonts w:ascii="Aptos Narrow" w:eastAsia="Times New Roman" w:hAnsi="Aptos Narrow" w:cs="Times New Roman"/>
          <w:color w:val="000000"/>
          <w:kern w:val="0"/>
          <w:lang w:eastAsia="en-GB"/>
          <w14:ligatures w14:val="none"/>
        </w:rPr>
      </w:pPr>
    </w:p>
    <w:p w14:paraId="67CFA1D9" w14:textId="5233AAEC" w:rsidR="0073496D" w:rsidRPr="00C338DD" w:rsidRDefault="0073496D" w:rsidP="0073496D">
      <w:pPr>
        <w:spacing w:after="0" w:line="240" w:lineRule="auto"/>
        <w:rPr>
          <w:rFonts w:ascii="Aptos Narrow" w:eastAsia="Times New Roman" w:hAnsi="Aptos Narrow" w:cs="Times New Roman"/>
          <w:b/>
          <w:bCs/>
          <w:color w:val="000000"/>
          <w:kern w:val="0"/>
          <w:lang w:eastAsia="en-GB"/>
          <w14:ligatures w14:val="none"/>
        </w:rPr>
      </w:pPr>
      <w:r w:rsidRPr="00C338DD">
        <w:rPr>
          <w:rFonts w:ascii="Aptos Narrow" w:eastAsia="Times New Roman" w:hAnsi="Aptos Narrow" w:cs="Times New Roman"/>
          <w:b/>
          <w:bCs/>
          <w:color w:val="000000"/>
          <w:kern w:val="0"/>
          <w:lang w:eastAsia="en-GB"/>
          <w14:ligatures w14:val="none"/>
        </w:rPr>
        <w:t xml:space="preserve">Results: </w:t>
      </w:r>
    </w:p>
    <w:p w14:paraId="61093BDB" w14:textId="77777777" w:rsidR="001E1B8A" w:rsidRPr="00C338DD" w:rsidRDefault="001E1B8A" w:rsidP="0073496D">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 xml:space="preserve">Results consisted of the numbers of people who were made each of three different offer types, their offer decision and their perception of their offer.  The numbers of people in each category were analysed using chi square tests of association. </w:t>
      </w:r>
    </w:p>
    <w:p w14:paraId="5D9E4F14" w14:textId="4C0CDBC5" w:rsidR="00DC4999" w:rsidRPr="00C338DD" w:rsidRDefault="001E1B8A" w:rsidP="0073496D">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 xml:space="preserve"> </w:t>
      </w:r>
    </w:p>
    <w:tbl>
      <w:tblPr>
        <w:tblW w:w="0" w:type="auto"/>
        <w:tblCellSpacing w:w="15" w:type="dxa"/>
        <w:tblCellMar>
          <w:left w:w="15" w:type="dxa"/>
          <w:bottom w:w="15" w:type="dxa"/>
          <w:right w:w="15" w:type="dxa"/>
        </w:tblCellMar>
        <w:tblLook w:val="04A0" w:firstRow="1" w:lastRow="0" w:firstColumn="1" w:lastColumn="0" w:noHBand="0" w:noVBand="1"/>
      </w:tblPr>
      <w:tblGrid>
        <w:gridCol w:w="1572"/>
        <w:gridCol w:w="1017"/>
        <w:gridCol w:w="1278"/>
        <w:gridCol w:w="1417"/>
      </w:tblGrid>
      <w:tr w:rsidR="00DE2A5F" w:rsidRPr="00300432" w14:paraId="71AC2A81"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9819B3" w14:textId="77777777" w:rsidR="00DE2A5F" w:rsidRPr="00300432" w:rsidRDefault="00DE2A5F" w:rsidP="00300432">
            <w:pPr>
              <w:spacing w:after="0" w:line="240" w:lineRule="auto"/>
              <w:rPr>
                <w:rFonts w:ascii="Arial" w:hAnsi="Arial" w:cs="Arial"/>
                <w:b/>
                <w:bCs/>
              </w:rPr>
            </w:pPr>
            <w:r w:rsidRPr="00300432">
              <w:rPr>
                <w:rFonts w:ascii="Arial" w:hAnsi="Arial" w:cs="Arial"/>
                <w:b/>
                <w:bCs/>
              </w:rPr>
              <w:t>Offer type</w:t>
            </w:r>
          </w:p>
        </w:tc>
        <w:tc>
          <w:tcPr>
            <w:tcW w:w="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1EA4F2" w14:textId="77777777" w:rsidR="00DE2A5F" w:rsidRPr="00300432" w:rsidRDefault="00DE2A5F" w:rsidP="00DE2A5F">
            <w:pPr>
              <w:spacing w:after="0" w:line="240" w:lineRule="auto"/>
              <w:jc w:val="center"/>
              <w:rPr>
                <w:rFonts w:ascii="Arial" w:hAnsi="Arial" w:cs="Arial"/>
                <w:b/>
                <w:bCs/>
                <w:sz w:val="18"/>
                <w:szCs w:val="18"/>
              </w:rPr>
            </w:pPr>
            <w:r w:rsidRPr="00300432">
              <w:rPr>
                <w:rFonts w:ascii="Arial" w:hAnsi="Arial" w:cs="Arial"/>
                <w:b/>
                <w:bCs/>
                <w:sz w:val="18"/>
                <w:szCs w:val="18"/>
              </w:rPr>
              <w:t>Had no effect</w:t>
            </w:r>
          </w:p>
        </w:tc>
        <w:tc>
          <w:tcPr>
            <w:tcW w:w="12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AAA53D" w14:textId="05296F13" w:rsidR="00DE2A5F" w:rsidRPr="00300432" w:rsidRDefault="00DE2A5F" w:rsidP="00DE2A5F">
            <w:pPr>
              <w:spacing w:after="0" w:line="240" w:lineRule="auto"/>
              <w:jc w:val="center"/>
              <w:rPr>
                <w:rFonts w:ascii="Arial" w:hAnsi="Arial" w:cs="Arial"/>
                <w:b/>
                <w:bCs/>
                <w:sz w:val="18"/>
                <w:szCs w:val="18"/>
              </w:rPr>
            </w:pPr>
            <w:r w:rsidRPr="00300432">
              <w:rPr>
                <w:rFonts w:ascii="Arial" w:hAnsi="Arial" w:cs="Arial"/>
                <w:b/>
                <w:bCs/>
                <w:sz w:val="18"/>
                <w:szCs w:val="18"/>
              </w:rPr>
              <w:t>Made Aston less appealing</w:t>
            </w:r>
          </w:p>
        </w:tc>
        <w:tc>
          <w:tcPr>
            <w:tcW w:w="137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920062" w14:textId="77777777" w:rsidR="00DE2A5F" w:rsidRPr="00300432" w:rsidRDefault="00DE2A5F" w:rsidP="00DE2A5F">
            <w:pPr>
              <w:spacing w:after="0" w:line="240" w:lineRule="auto"/>
              <w:jc w:val="center"/>
              <w:rPr>
                <w:rFonts w:ascii="Arial" w:hAnsi="Arial" w:cs="Arial"/>
                <w:b/>
                <w:bCs/>
                <w:sz w:val="18"/>
                <w:szCs w:val="18"/>
              </w:rPr>
            </w:pPr>
            <w:r w:rsidRPr="00300432">
              <w:rPr>
                <w:rFonts w:ascii="Arial" w:hAnsi="Arial" w:cs="Arial"/>
                <w:b/>
                <w:bCs/>
                <w:sz w:val="18"/>
                <w:szCs w:val="18"/>
              </w:rPr>
              <w:t>Made Aston more appealing</w:t>
            </w:r>
          </w:p>
        </w:tc>
      </w:tr>
      <w:tr w:rsidR="00DE2A5F" w:rsidRPr="00300432" w14:paraId="3B3FEE7C" w14:textId="77777777" w:rsidTr="00DE2A5F">
        <w:trPr>
          <w:tblCellSpacing w:w="15" w:type="dxa"/>
        </w:trPr>
        <w:tc>
          <w:tcPr>
            <w:tcW w:w="0" w:type="auto"/>
            <w:tcBorders>
              <w:top w:val="single" w:sz="4" w:space="0" w:color="auto"/>
              <w:left w:val="single" w:sz="6" w:space="0" w:color="E6E6E6"/>
              <w:bottom w:val="single" w:sz="6" w:space="0" w:color="E6E6E6"/>
              <w:right w:val="single" w:sz="6" w:space="0" w:color="E6E6E6"/>
            </w:tcBorders>
            <w:shd w:val="clear" w:color="auto" w:fill="F5F5F5"/>
            <w:vAlign w:val="center"/>
            <w:hideMark/>
          </w:tcPr>
          <w:p w14:paraId="74E795A4" w14:textId="77777777" w:rsidR="00DE2A5F" w:rsidRPr="00300432" w:rsidRDefault="00DE2A5F" w:rsidP="00300432">
            <w:pPr>
              <w:spacing w:after="0" w:line="240" w:lineRule="auto"/>
              <w:rPr>
                <w:rFonts w:ascii="Arial" w:hAnsi="Arial" w:cs="Arial"/>
                <w:b/>
                <w:bCs/>
              </w:rPr>
            </w:pPr>
            <w:r w:rsidRPr="00300432">
              <w:rPr>
                <w:rFonts w:ascii="Arial" w:hAnsi="Arial" w:cs="Arial"/>
                <w:b/>
                <w:bCs/>
              </w:rPr>
              <w:t>Conditional</w:t>
            </w:r>
          </w:p>
        </w:tc>
        <w:tc>
          <w:tcPr>
            <w:tcW w:w="987" w:type="dxa"/>
            <w:tcBorders>
              <w:top w:val="single" w:sz="4" w:space="0" w:color="auto"/>
              <w:left w:val="single" w:sz="6" w:space="0" w:color="E6E6E6"/>
              <w:bottom w:val="single" w:sz="6" w:space="0" w:color="E6E6E6"/>
              <w:right w:val="single" w:sz="6" w:space="0" w:color="E6E6E6"/>
            </w:tcBorders>
            <w:vAlign w:val="center"/>
            <w:hideMark/>
          </w:tcPr>
          <w:p w14:paraId="73649B4D" w14:textId="77777777" w:rsidR="00DE2A5F" w:rsidRPr="00300432" w:rsidRDefault="00DE2A5F" w:rsidP="00DE2A5F">
            <w:pPr>
              <w:spacing w:after="0" w:line="240" w:lineRule="auto"/>
              <w:jc w:val="center"/>
              <w:rPr>
                <w:rFonts w:ascii="Arial" w:hAnsi="Arial" w:cs="Arial"/>
              </w:rPr>
            </w:pPr>
            <w:r w:rsidRPr="00300432">
              <w:rPr>
                <w:rFonts w:ascii="Arial" w:hAnsi="Arial" w:cs="Arial"/>
              </w:rPr>
              <w:t>354 (50.2%)</w:t>
            </w:r>
          </w:p>
        </w:tc>
        <w:tc>
          <w:tcPr>
            <w:tcW w:w="1248" w:type="dxa"/>
            <w:tcBorders>
              <w:top w:val="single" w:sz="4" w:space="0" w:color="auto"/>
              <w:left w:val="single" w:sz="6" w:space="0" w:color="E6E6E6"/>
              <w:bottom w:val="single" w:sz="6" w:space="0" w:color="E6E6E6"/>
              <w:right w:val="single" w:sz="6" w:space="0" w:color="E6E6E6"/>
            </w:tcBorders>
            <w:vAlign w:val="center"/>
            <w:hideMark/>
          </w:tcPr>
          <w:p w14:paraId="3D23DFD7" w14:textId="3E882824" w:rsidR="00DE2A5F" w:rsidRPr="0083052C" w:rsidRDefault="00DE2A5F" w:rsidP="00DE2A5F">
            <w:pPr>
              <w:spacing w:after="0" w:line="240" w:lineRule="auto"/>
              <w:jc w:val="center"/>
              <w:rPr>
                <w:rFonts w:ascii="Arial" w:hAnsi="Arial" w:cs="Arial"/>
              </w:rPr>
            </w:pPr>
            <w:r w:rsidRPr="00300432">
              <w:rPr>
                <w:rFonts w:ascii="Arial" w:hAnsi="Arial" w:cs="Arial"/>
              </w:rPr>
              <w:t>70</w:t>
            </w:r>
          </w:p>
          <w:p w14:paraId="75A6DA5F" w14:textId="2FE346E7" w:rsidR="00DE2A5F" w:rsidRPr="00300432" w:rsidRDefault="00DE2A5F" w:rsidP="00DE2A5F">
            <w:pPr>
              <w:spacing w:after="0" w:line="240" w:lineRule="auto"/>
              <w:jc w:val="center"/>
              <w:rPr>
                <w:rFonts w:ascii="Arial" w:hAnsi="Arial" w:cs="Arial"/>
              </w:rPr>
            </w:pPr>
            <w:r w:rsidRPr="00300432">
              <w:rPr>
                <w:rFonts w:ascii="Arial" w:hAnsi="Arial" w:cs="Arial"/>
              </w:rPr>
              <w:t>(9.9%)</w:t>
            </w:r>
          </w:p>
        </w:tc>
        <w:tc>
          <w:tcPr>
            <w:tcW w:w="1372" w:type="dxa"/>
            <w:tcBorders>
              <w:top w:val="single" w:sz="4" w:space="0" w:color="auto"/>
              <w:left w:val="single" w:sz="6" w:space="0" w:color="E6E6E6"/>
              <w:bottom w:val="single" w:sz="6" w:space="0" w:color="E6E6E6"/>
              <w:right w:val="single" w:sz="6" w:space="0" w:color="E6E6E6"/>
            </w:tcBorders>
            <w:vAlign w:val="center"/>
            <w:hideMark/>
          </w:tcPr>
          <w:p w14:paraId="4964CBFD" w14:textId="0878CD84" w:rsidR="00DE2A5F" w:rsidRPr="0083052C" w:rsidRDefault="00DE2A5F" w:rsidP="00DE2A5F">
            <w:pPr>
              <w:spacing w:after="0" w:line="240" w:lineRule="auto"/>
              <w:jc w:val="center"/>
              <w:rPr>
                <w:rFonts w:ascii="Arial" w:hAnsi="Arial" w:cs="Arial"/>
              </w:rPr>
            </w:pPr>
            <w:r w:rsidRPr="00300432">
              <w:rPr>
                <w:rFonts w:ascii="Arial" w:hAnsi="Arial" w:cs="Arial"/>
              </w:rPr>
              <w:t>281</w:t>
            </w:r>
          </w:p>
          <w:p w14:paraId="1D146307" w14:textId="689F7BFF" w:rsidR="00DE2A5F" w:rsidRPr="00300432" w:rsidRDefault="00DE2A5F" w:rsidP="00DE2A5F">
            <w:pPr>
              <w:spacing w:after="0" w:line="240" w:lineRule="auto"/>
              <w:jc w:val="center"/>
              <w:rPr>
                <w:rFonts w:ascii="Arial" w:hAnsi="Arial" w:cs="Arial"/>
              </w:rPr>
            </w:pPr>
            <w:r w:rsidRPr="00300432">
              <w:rPr>
                <w:rFonts w:ascii="Arial" w:hAnsi="Arial" w:cs="Arial"/>
              </w:rPr>
              <w:t>(39.9%)</w:t>
            </w:r>
          </w:p>
        </w:tc>
      </w:tr>
      <w:tr w:rsidR="00DE2A5F" w:rsidRPr="00300432" w14:paraId="0E6171FB"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ACE770" w14:textId="77777777" w:rsidR="00DE2A5F" w:rsidRPr="00300432" w:rsidRDefault="00DE2A5F" w:rsidP="00300432">
            <w:pPr>
              <w:spacing w:after="0" w:line="240" w:lineRule="auto"/>
              <w:rPr>
                <w:rFonts w:ascii="Arial" w:hAnsi="Arial" w:cs="Arial"/>
                <w:b/>
                <w:bCs/>
              </w:rPr>
            </w:pPr>
            <w:r w:rsidRPr="00300432">
              <w:rPr>
                <w:rFonts w:ascii="Arial" w:hAnsi="Arial" w:cs="Arial"/>
                <w:b/>
                <w:bCs/>
              </w:rPr>
              <w:t>Contextual</w:t>
            </w:r>
          </w:p>
        </w:tc>
        <w:tc>
          <w:tcPr>
            <w:tcW w:w="987" w:type="dxa"/>
            <w:tcBorders>
              <w:top w:val="single" w:sz="6" w:space="0" w:color="E6E6E6"/>
              <w:left w:val="single" w:sz="6" w:space="0" w:color="E6E6E6"/>
              <w:bottom w:val="single" w:sz="6" w:space="0" w:color="E6E6E6"/>
              <w:right w:val="single" w:sz="6" w:space="0" w:color="E6E6E6"/>
            </w:tcBorders>
            <w:vAlign w:val="center"/>
            <w:hideMark/>
          </w:tcPr>
          <w:p w14:paraId="6A3765BD" w14:textId="77777777" w:rsidR="00DE2A5F" w:rsidRPr="00300432" w:rsidRDefault="00DE2A5F" w:rsidP="00DE2A5F">
            <w:pPr>
              <w:spacing w:after="0" w:line="240" w:lineRule="auto"/>
              <w:jc w:val="center"/>
              <w:rPr>
                <w:rFonts w:ascii="Arial" w:hAnsi="Arial" w:cs="Arial"/>
              </w:rPr>
            </w:pPr>
            <w:r w:rsidRPr="00300432">
              <w:rPr>
                <w:rFonts w:ascii="Arial" w:hAnsi="Arial" w:cs="Arial"/>
              </w:rPr>
              <w:t>55 (32.0%)</w:t>
            </w:r>
          </w:p>
        </w:tc>
        <w:tc>
          <w:tcPr>
            <w:tcW w:w="1248" w:type="dxa"/>
            <w:tcBorders>
              <w:top w:val="single" w:sz="6" w:space="0" w:color="E6E6E6"/>
              <w:left w:val="single" w:sz="6" w:space="0" w:color="E6E6E6"/>
              <w:bottom w:val="single" w:sz="6" w:space="0" w:color="E6E6E6"/>
              <w:right w:val="single" w:sz="6" w:space="0" w:color="E6E6E6"/>
            </w:tcBorders>
            <w:vAlign w:val="center"/>
            <w:hideMark/>
          </w:tcPr>
          <w:p w14:paraId="05A77ED6" w14:textId="77777777" w:rsidR="00DE2A5F" w:rsidRPr="0083052C" w:rsidRDefault="00DE2A5F" w:rsidP="00DE2A5F">
            <w:pPr>
              <w:spacing w:after="0" w:line="240" w:lineRule="auto"/>
              <w:jc w:val="center"/>
              <w:rPr>
                <w:rFonts w:ascii="Arial" w:hAnsi="Arial" w:cs="Arial"/>
              </w:rPr>
            </w:pPr>
            <w:r w:rsidRPr="00300432">
              <w:rPr>
                <w:rFonts w:ascii="Arial" w:hAnsi="Arial" w:cs="Arial"/>
              </w:rPr>
              <w:t>4</w:t>
            </w:r>
          </w:p>
          <w:p w14:paraId="6A46EA62" w14:textId="1D70EBAA" w:rsidR="00DE2A5F" w:rsidRPr="00300432" w:rsidRDefault="00DE2A5F" w:rsidP="00DE2A5F">
            <w:pPr>
              <w:spacing w:after="0" w:line="240" w:lineRule="auto"/>
              <w:jc w:val="center"/>
              <w:rPr>
                <w:rFonts w:ascii="Arial" w:hAnsi="Arial" w:cs="Arial"/>
              </w:rPr>
            </w:pPr>
            <w:r w:rsidRPr="00300432">
              <w:rPr>
                <w:rFonts w:ascii="Arial" w:hAnsi="Arial" w:cs="Arial"/>
              </w:rPr>
              <w:t>(2.3%)</w:t>
            </w:r>
          </w:p>
        </w:tc>
        <w:tc>
          <w:tcPr>
            <w:tcW w:w="1372" w:type="dxa"/>
            <w:tcBorders>
              <w:top w:val="single" w:sz="6" w:space="0" w:color="E6E6E6"/>
              <w:left w:val="single" w:sz="6" w:space="0" w:color="E6E6E6"/>
              <w:bottom w:val="single" w:sz="6" w:space="0" w:color="E6E6E6"/>
              <w:right w:val="single" w:sz="6" w:space="0" w:color="E6E6E6"/>
            </w:tcBorders>
            <w:vAlign w:val="center"/>
            <w:hideMark/>
          </w:tcPr>
          <w:p w14:paraId="05410968" w14:textId="100DA0C4" w:rsidR="00DE2A5F" w:rsidRPr="0083052C" w:rsidRDefault="00DE2A5F" w:rsidP="00DE2A5F">
            <w:pPr>
              <w:spacing w:after="0" w:line="240" w:lineRule="auto"/>
              <w:jc w:val="center"/>
              <w:rPr>
                <w:rFonts w:ascii="Arial" w:hAnsi="Arial" w:cs="Arial"/>
              </w:rPr>
            </w:pPr>
            <w:r w:rsidRPr="00300432">
              <w:rPr>
                <w:rFonts w:ascii="Arial" w:hAnsi="Arial" w:cs="Arial"/>
              </w:rPr>
              <w:t>113</w:t>
            </w:r>
          </w:p>
          <w:p w14:paraId="3D9AB2EE" w14:textId="3AF28765" w:rsidR="00DE2A5F" w:rsidRPr="00300432" w:rsidRDefault="00DE2A5F" w:rsidP="00DE2A5F">
            <w:pPr>
              <w:spacing w:after="0" w:line="240" w:lineRule="auto"/>
              <w:jc w:val="center"/>
              <w:rPr>
                <w:rFonts w:ascii="Arial" w:hAnsi="Arial" w:cs="Arial"/>
              </w:rPr>
            </w:pPr>
            <w:r w:rsidRPr="00300432">
              <w:rPr>
                <w:rFonts w:ascii="Arial" w:hAnsi="Arial" w:cs="Arial"/>
              </w:rPr>
              <w:t>(65.7%)</w:t>
            </w:r>
          </w:p>
        </w:tc>
      </w:tr>
      <w:tr w:rsidR="00DE2A5F" w:rsidRPr="00300432" w14:paraId="50B047D6"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5E57AA" w14:textId="77777777" w:rsidR="00DE2A5F" w:rsidRPr="00300432" w:rsidRDefault="00DE2A5F" w:rsidP="00300432">
            <w:pPr>
              <w:spacing w:after="0" w:line="240" w:lineRule="auto"/>
              <w:rPr>
                <w:rFonts w:ascii="Arial" w:hAnsi="Arial" w:cs="Arial"/>
                <w:b/>
                <w:bCs/>
              </w:rPr>
            </w:pPr>
            <w:r w:rsidRPr="00300432">
              <w:rPr>
                <w:rFonts w:ascii="Arial" w:hAnsi="Arial" w:cs="Arial"/>
                <w:b/>
                <w:bCs/>
              </w:rPr>
              <w:t>Unconditional</w:t>
            </w:r>
          </w:p>
        </w:tc>
        <w:tc>
          <w:tcPr>
            <w:tcW w:w="987" w:type="dxa"/>
            <w:tcBorders>
              <w:top w:val="single" w:sz="6" w:space="0" w:color="E6E6E6"/>
              <w:left w:val="single" w:sz="6" w:space="0" w:color="E6E6E6"/>
              <w:bottom w:val="single" w:sz="6" w:space="0" w:color="E6E6E6"/>
              <w:right w:val="single" w:sz="6" w:space="0" w:color="E6E6E6"/>
            </w:tcBorders>
            <w:vAlign w:val="center"/>
            <w:hideMark/>
          </w:tcPr>
          <w:p w14:paraId="7D55F869" w14:textId="77777777" w:rsidR="00DE2A5F" w:rsidRPr="00300432" w:rsidRDefault="00DE2A5F" w:rsidP="00DE2A5F">
            <w:pPr>
              <w:spacing w:after="0" w:line="240" w:lineRule="auto"/>
              <w:jc w:val="center"/>
              <w:rPr>
                <w:rFonts w:ascii="Arial" w:hAnsi="Arial" w:cs="Arial"/>
              </w:rPr>
            </w:pPr>
            <w:r w:rsidRPr="00300432">
              <w:rPr>
                <w:rFonts w:ascii="Arial" w:hAnsi="Arial" w:cs="Arial"/>
              </w:rPr>
              <w:t>35 (50.0%)</w:t>
            </w:r>
          </w:p>
        </w:tc>
        <w:tc>
          <w:tcPr>
            <w:tcW w:w="1248" w:type="dxa"/>
            <w:tcBorders>
              <w:top w:val="single" w:sz="6" w:space="0" w:color="E6E6E6"/>
              <w:left w:val="single" w:sz="6" w:space="0" w:color="E6E6E6"/>
              <w:bottom w:val="single" w:sz="6" w:space="0" w:color="E6E6E6"/>
              <w:right w:val="single" w:sz="6" w:space="0" w:color="E6E6E6"/>
            </w:tcBorders>
            <w:vAlign w:val="center"/>
            <w:hideMark/>
          </w:tcPr>
          <w:p w14:paraId="39B179EE" w14:textId="75DD4808" w:rsidR="00DE2A5F" w:rsidRPr="0083052C" w:rsidRDefault="00DE2A5F" w:rsidP="00DE2A5F">
            <w:pPr>
              <w:spacing w:after="0" w:line="240" w:lineRule="auto"/>
              <w:jc w:val="center"/>
              <w:rPr>
                <w:rFonts w:ascii="Arial" w:hAnsi="Arial" w:cs="Arial"/>
              </w:rPr>
            </w:pPr>
            <w:r w:rsidRPr="00300432">
              <w:rPr>
                <w:rFonts w:ascii="Arial" w:hAnsi="Arial" w:cs="Arial"/>
              </w:rPr>
              <w:t>2</w:t>
            </w:r>
          </w:p>
          <w:p w14:paraId="6627C44F" w14:textId="05B98860" w:rsidR="00DE2A5F" w:rsidRPr="00300432" w:rsidRDefault="00DE2A5F" w:rsidP="00DE2A5F">
            <w:pPr>
              <w:spacing w:after="0" w:line="240" w:lineRule="auto"/>
              <w:jc w:val="center"/>
              <w:rPr>
                <w:rFonts w:ascii="Arial" w:hAnsi="Arial" w:cs="Arial"/>
              </w:rPr>
            </w:pPr>
            <w:r w:rsidRPr="00300432">
              <w:rPr>
                <w:rFonts w:ascii="Arial" w:hAnsi="Arial" w:cs="Arial"/>
              </w:rPr>
              <w:t>(2.9%)</w:t>
            </w:r>
          </w:p>
        </w:tc>
        <w:tc>
          <w:tcPr>
            <w:tcW w:w="1372" w:type="dxa"/>
            <w:tcBorders>
              <w:top w:val="single" w:sz="6" w:space="0" w:color="E6E6E6"/>
              <w:left w:val="single" w:sz="6" w:space="0" w:color="E6E6E6"/>
              <w:bottom w:val="single" w:sz="6" w:space="0" w:color="E6E6E6"/>
              <w:right w:val="single" w:sz="6" w:space="0" w:color="E6E6E6"/>
            </w:tcBorders>
            <w:vAlign w:val="center"/>
            <w:hideMark/>
          </w:tcPr>
          <w:p w14:paraId="34845693" w14:textId="45214A06" w:rsidR="00DE2A5F" w:rsidRPr="0083052C" w:rsidRDefault="00DE2A5F" w:rsidP="00DE2A5F">
            <w:pPr>
              <w:spacing w:after="0" w:line="240" w:lineRule="auto"/>
              <w:jc w:val="center"/>
              <w:rPr>
                <w:rFonts w:ascii="Arial" w:hAnsi="Arial" w:cs="Arial"/>
              </w:rPr>
            </w:pPr>
            <w:r w:rsidRPr="00300432">
              <w:rPr>
                <w:rFonts w:ascii="Arial" w:hAnsi="Arial" w:cs="Arial"/>
              </w:rPr>
              <w:t>33</w:t>
            </w:r>
          </w:p>
          <w:p w14:paraId="1EA307C2" w14:textId="2F2834F5" w:rsidR="00DE2A5F" w:rsidRPr="00300432" w:rsidRDefault="00DE2A5F" w:rsidP="00DE2A5F">
            <w:pPr>
              <w:spacing w:after="0" w:line="240" w:lineRule="auto"/>
              <w:jc w:val="center"/>
              <w:rPr>
                <w:rFonts w:ascii="Arial" w:hAnsi="Arial" w:cs="Arial"/>
              </w:rPr>
            </w:pPr>
            <w:r w:rsidRPr="00300432">
              <w:rPr>
                <w:rFonts w:ascii="Arial" w:hAnsi="Arial" w:cs="Arial"/>
              </w:rPr>
              <w:t>(47.1%)</w:t>
            </w:r>
          </w:p>
        </w:tc>
      </w:tr>
    </w:tbl>
    <w:p w14:paraId="58206B2D" w14:textId="24D4BD9E" w:rsidR="00F94391" w:rsidRPr="00C338DD" w:rsidRDefault="00F94391" w:rsidP="0073496D">
      <w:pPr>
        <w:spacing w:after="0" w:line="240" w:lineRule="auto"/>
      </w:pPr>
      <w:r w:rsidRPr="00C338DD">
        <w:rPr>
          <w:i/>
          <w:iCs/>
        </w:rPr>
        <w:t>Table 1. Showing the number of respondents to the survey who had received the different types of offer and how they felt about that offer</w:t>
      </w:r>
      <w:r w:rsidR="001641C7" w:rsidRPr="00C338DD">
        <w:rPr>
          <w:i/>
          <w:iCs/>
        </w:rPr>
        <w:t>. Percentages of respondents who felt different ways in each offer category are also shown</w:t>
      </w:r>
      <w:r w:rsidR="001641C7" w:rsidRPr="00C338DD">
        <w:t xml:space="preserve">. </w:t>
      </w:r>
    </w:p>
    <w:p w14:paraId="52545A28" w14:textId="77777777" w:rsidR="00F94391" w:rsidRPr="00C338DD" w:rsidRDefault="00F94391" w:rsidP="0073496D">
      <w:pPr>
        <w:spacing w:after="0" w:line="240" w:lineRule="auto"/>
        <w:rPr>
          <w:rFonts w:ascii="Aptos Narrow" w:eastAsia="Times New Roman" w:hAnsi="Aptos Narrow" w:cs="Times New Roman"/>
          <w:color w:val="000000"/>
          <w:kern w:val="0"/>
          <w:lang w:eastAsia="en-GB"/>
          <w14:ligatures w14:val="none"/>
        </w:rPr>
      </w:pPr>
    </w:p>
    <w:p w14:paraId="4FD1B939" w14:textId="102135C1" w:rsidR="0073496D" w:rsidRDefault="00F94391" w:rsidP="0073496D">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 xml:space="preserve">Table 1 shows the number of respondents to the survey who had received each type of offer and how they felt about that offer. </w:t>
      </w:r>
      <w:r w:rsidR="00581042" w:rsidRPr="00C338DD">
        <w:rPr>
          <w:rFonts w:ascii="Aptos Narrow" w:eastAsia="Times New Roman" w:hAnsi="Aptos Narrow" w:cs="Times New Roman"/>
          <w:color w:val="000000"/>
          <w:kern w:val="0"/>
          <w:lang w:eastAsia="en-GB"/>
          <w14:ligatures w14:val="none"/>
        </w:rPr>
        <w:t xml:space="preserve"> </w:t>
      </w:r>
      <w:r w:rsidR="00BD0806" w:rsidRPr="005871FA">
        <w:rPr>
          <w:rFonts w:ascii="Aptos Narrow" w:eastAsia="Times New Roman" w:hAnsi="Aptos Narrow" w:cs="Times New Roman"/>
          <w:b/>
          <w:bCs/>
          <w:color w:val="7030A0"/>
          <w:kern w:val="0"/>
          <w:lang w:eastAsia="en-GB"/>
          <w14:ligatures w14:val="none"/>
        </w:rPr>
        <w:t>A</w:t>
      </w:r>
      <w:r w:rsidR="00581042" w:rsidRPr="005871FA">
        <w:rPr>
          <w:rFonts w:ascii="Aptos Narrow" w:eastAsia="Times New Roman" w:hAnsi="Aptos Narrow" w:cs="Times New Roman"/>
          <w:b/>
          <w:bCs/>
          <w:color w:val="7030A0"/>
          <w:kern w:val="0"/>
          <w:lang w:eastAsia="en-GB"/>
          <w14:ligatures w14:val="none"/>
        </w:rPr>
        <w:t xml:space="preserve"> greater proportion of those that received the contextual offer felt that their offer made Aston more appealing</w:t>
      </w:r>
      <w:r w:rsidR="00DC4999" w:rsidRPr="005871FA">
        <w:rPr>
          <w:rFonts w:ascii="Aptos Narrow" w:eastAsia="Times New Roman" w:hAnsi="Aptos Narrow" w:cs="Times New Roman"/>
          <w:b/>
          <w:bCs/>
          <w:color w:val="7030A0"/>
          <w:kern w:val="0"/>
          <w:lang w:eastAsia="en-GB"/>
          <w14:ligatures w14:val="none"/>
        </w:rPr>
        <w:t xml:space="preserve"> (65.7% vs. 39.9%)</w:t>
      </w:r>
      <w:r w:rsidR="00581042" w:rsidRPr="005871FA">
        <w:rPr>
          <w:rFonts w:ascii="Aptos Narrow" w:eastAsia="Times New Roman" w:hAnsi="Aptos Narrow" w:cs="Times New Roman"/>
          <w:b/>
          <w:bCs/>
          <w:color w:val="7030A0"/>
          <w:kern w:val="0"/>
          <w:lang w:eastAsia="en-GB"/>
          <w14:ligatures w14:val="none"/>
        </w:rPr>
        <w:t>.</w:t>
      </w:r>
      <w:r w:rsidR="00581042" w:rsidRPr="005871FA">
        <w:rPr>
          <w:rFonts w:ascii="Aptos Narrow" w:eastAsia="Times New Roman" w:hAnsi="Aptos Narrow" w:cs="Times New Roman"/>
          <w:color w:val="7030A0"/>
          <w:kern w:val="0"/>
          <w:lang w:eastAsia="en-GB"/>
          <w14:ligatures w14:val="none"/>
        </w:rPr>
        <w:t xml:space="preserve"> </w:t>
      </w:r>
      <w:r w:rsidR="00E46FB3" w:rsidRPr="00C338DD">
        <w:rPr>
          <w:rFonts w:ascii="Aptos Narrow" w:eastAsia="Times New Roman" w:hAnsi="Aptos Narrow" w:cs="Times New Roman"/>
          <w:color w:val="000000"/>
          <w:kern w:val="0"/>
          <w:lang w:eastAsia="en-GB"/>
          <w14:ligatures w14:val="none"/>
        </w:rPr>
        <w:t>A c</w:t>
      </w:r>
      <w:r w:rsidR="0073496D" w:rsidRPr="00C338DD">
        <w:rPr>
          <w:rFonts w:ascii="Aptos Narrow" w:eastAsia="Times New Roman" w:hAnsi="Aptos Narrow" w:cs="Times New Roman"/>
          <w:color w:val="000000"/>
          <w:kern w:val="0"/>
          <w:lang w:eastAsia="en-GB"/>
          <w14:ligatures w14:val="none"/>
        </w:rPr>
        <w:t xml:space="preserve">hi square test of association </w:t>
      </w:r>
      <w:r w:rsidR="00E46FB3" w:rsidRPr="00C338DD">
        <w:rPr>
          <w:rFonts w:ascii="Aptos Narrow" w:eastAsia="Times New Roman" w:hAnsi="Aptos Narrow" w:cs="Times New Roman"/>
          <w:color w:val="000000"/>
          <w:kern w:val="0"/>
          <w:lang w:eastAsia="en-GB"/>
          <w14:ligatures w14:val="none"/>
        </w:rPr>
        <w:t>showed a significant association between the type of offer received and the reported appeal of that offer (</w:t>
      </w:r>
      <w:r w:rsidR="005B1F80" w:rsidRPr="00C338DD">
        <w:rPr>
          <w:rFonts w:ascii="Aptos Narrow" w:eastAsia="Times New Roman" w:hAnsi="Aptos Narrow" w:cs="Times New Roman"/>
          <w:i/>
          <w:iCs/>
          <w:color w:val="000000"/>
          <w:kern w:val="0"/>
          <w:lang w:eastAsia="en-GB"/>
          <w14:ligatures w14:val="none"/>
        </w:rPr>
        <w:t>χ2</w:t>
      </w:r>
      <w:r w:rsidR="005B1F80" w:rsidRPr="00C338DD">
        <w:rPr>
          <w:rFonts w:ascii="Aptos Narrow" w:eastAsia="Times New Roman" w:hAnsi="Aptos Narrow" w:cs="Times New Roman"/>
          <w:color w:val="000000"/>
          <w:kern w:val="0"/>
          <w:lang w:eastAsia="en-GB"/>
          <w14:ligatures w14:val="none"/>
        </w:rPr>
        <w:t xml:space="preserve">=42.99, </w:t>
      </w:r>
      <w:r w:rsidR="005B1F80" w:rsidRPr="00C338DD">
        <w:rPr>
          <w:rFonts w:ascii="Aptos Narrow" w:eastAsia="Times New Roman" w:hAnsi="Aptos Narrow" w:cs="Times New Roman"/>
          <w:i/>
          <w:iCs/>
          <w:color w:val="000000"/>
          <w:kern w:val="0"/>
          <w:lang w:eastAsia="en-GB"/>
          <w14:ligatures w14:val="none"/>
        </w:rPr>
        <w:t>df</w:t>
      </w:r>
      <w:r w:rsidR="005B1F80" w:rsidRPr="00C338DD">
        <w:rPr>
          <w:rFonts w:ascii="Aptos Narrow" w:eastAsia="Times New Roman" w:hAnsi="Aptos Narrow" w:cs="Times New Roman"/>
          <w:color w:val="000000"/>
          <w:kern w:val="0"/>
          <w:lang w:eastAsia="en-GB"/>
          <w14:ligatures w14:val="none"/>
        </w:rPr>
        <w:t xml:space="preserve">=4, </w:t>
      </w:r>
      <w:r w:rsidR="005B1F80" w:rsidRPr="00C338DD">
        <w:rPr>
          <w:rFonts w:ascii="Aptos Narrow" w:eastAsia="Times New Roman" w:hAnsi="Aptos Narrow" w:cs="Times New Roman"/>
          <w:i/>
          <w:iCs/>
          <w:color w:val="000000"/>
          <w:kern w:val="0"/>
          <w:lang w:eastAsia="en-GB"/>
          <w14:ligatures w14:val="none"/>
        </w:rPr>
        <w:t>p&lt;.001</w:t>
      </w:r>
      <w:r w:rsidR="005B1F80" w:rsidRPr="00C338DD">
        <w:rPr>
          <w:rFonts w:ascii="Aptos Narrow" w:eastAsia="Times New Roman" w:hAnsi="Aptos Narrow" w:cs="Times New Roman"/>
          <w:color w:val="000000"/>
          <w:kern w:val="0"/>
          <w:lang w:eastAsia="en-GB"/>
          <w14:ligatures w14:val="none"/>
        </w:rPr>
        <w:t>).</w:t>
      </w:r>
      <w:r w:rsidR="00C338DD">
        <w:rPr>
          <w:rFonts w:ascii="Aptos Narrow" w:eastAsia="Times New Roman" w:hAnsi="Aptos Narrow" w:cs="Times New Roman"/>
          <w:color w:val="000000"/>
          <w:kern w:val="0"/>
          <w:lang w:eastAsia="en-GB"/>
          <w14:ligatures w14:val="none"/>
        </w:rPr>
        <w:t xml:space="preserve"> </w:t>
      </w:r>
    </w:p>
    <w:p w14:paraId="16C6B90E" w14:textId="77777777" w:rsidR="00D7485F" w:rsidRDefault="00D7485F" w:rsidP="0073496D">
      <w:pPr>
        <w:spacing w:after="0" w:line="240" w:lineRule="auto"/>
        <w:rPr>
          <w:rFonts w:ascii="Aptos Narrow" w:eastAsia="Times New Roman" w:hAnsi="Aptos Narrow" w:cs="Times New Roman"/>
          <w:color w:val="000000"/>
          <w:kern w:val="0"/>
          <w:lang w:eastAsia="en-GB"/>
          <w14:ligatures w14:val="none"/>
        </w:rPr>
      </w:pPr>
    </w:p>
    <w:p w14:paraId="430D4FF9" w14:textId="77777777" w:rsidR="00D7485F" w:rsidRPr="00C338DD" w:rsidRDefault="00D7485F" w:rsidP="0073496D">
      <w:pPr>
        <w:spacing w:after="0" w:line="240" w:lineRule="auto"/>
        <w:rPr>
          <w:rFonts w:ascii="Aptos Narrow" w:eastAsia="Times New Roman" w:hAnsi="Aptos Narrow" w:cs="Times New Roman"/>
          <w:color w:val="000000"/>
          <w:kern w:val="0"/>
          <w:lang w:eastAsia="en-GB"/>
          <w14:ligatures w14:val="none"/>
        </w:rPr>
      </w:pPr>
    </w:p>
    <w:p w14:paraId="1FDC0041" w14:textId="12AB5851" w:rsidR="000221A3" w:rsidRPr="0083052C" w:rsidRDefault="000221A3" w:rsidP="0083052C">
      <w:pPr>
        <w:pStyle w:val="ListParagraph"/>
        <w:numPr>
          <w:ilvl w:val="0"/>
          <w:numId w:val="6"/>
        </w:numPr>
        <w:rPr>
          <w:b/>
          <w:bCs/>
        </w:rPr>
      </w:pPr>
      <w:r w:rsidRPr="0083052C">
        <w:rPr>
          <w:b/>
          <w:bCs/>
        </w:rPr>
        <w:t xml:space="preserve"> Do applicants in targeted groups </w:t>
      </w:r>
      <w:r w:rsidR="00A21CF2" w:rsidRPr="0083052C">
        <w:rPr>
          <w:b/>
          <w:bCs/>
        </w:rPr>
        <w:t>accept their</w:t>
      </w:r>
      <w:r w:rsidRPr="0083052C">
        <w:rPr>
          <w:b/>
          <w:bCs/>
        </w:rPr>
        <w:t xml:space="preserve"> UCAS offer </w:t>
      </w:r>
      <w:r w:rsidR="00A21CF2" w:rsidRPr="0083052C">
        <w:rPr>
          <w:b/>
          <w:bCs/>
        </w:rPr>
        <w:t>more often</w:t>
      </w:r>
      <w:r w:rsidRPr="0083052C">
        <w:rPr>
          <w:b/>
          <w:bCs/>
        </w:rPr>
        <w:t>?</w:t>
      </w:r>
    </w:p>
    <w:p w14:paraId="385A1E47" w14:textId="67D8312F" w:rsidR="000221A3" w:rsidRDefault="000221A3" w:rsidP="000221A3">
      <w:r w:rsidRPr="00C338DD">
        <w:rPr>
          <w:b/>
          <w:bCs/>
        </w:rPr>
        <w:t>Hypothesis:</w:t>
      </w:r>
      <w:r w:rsidRPr="00C338DD">
        <w:t xml:space="preserve"> There will be a significant association between the type of offer an applicant receives (standard/ contextual/ unconditional) and their acceptance status (firm/ insurance/ decline)</w:t>
      </w:r>
    </w:p>
    <w:p w14:paraId="00B131A6" w14:textId="7409EFD9" w:rsidR="0083052C" w:rsidRDefault="0083052C" w:rsidP="0083052C">
      <w:r w:rsidRPr="00C338DD">
        <w:rPr>
          <w:b/>
          <w:bCs/>
        </w:rPr>
        <w:lastRenderedPageBreak/>
        <w:t>Method:</w:t>
      </w:r>
      <w:r w:rsidRPr="00C338DD">
        <w:t xml:space="preserve"> </w:t>
      </w:r>
      <w:r>
        <w:t xml:space="preserve">Admissions data were output from SITS for 2024-5. Data in the dataset included Aston’s initial decision (reject, unconditional offer, conditional offer) and whether any offer was contextual or non-contextual. It also included the applicants’ initial response (no response, decline, insurance or firm), domicile (UK or not), clearing status (yes/ no) and Aston’s confirmation decision (various options). It also included whether students achieved ABB+ grades or equivalent or not, Free School Meals status, Disability status and sex.  We excluded data from non-UK based students, students who were rejected by Aston, and students who applied via clearing. </w:t>
      </w:r>
    </w:p>
    <w:p w14:paraId="28CA53D2" w14:textId="77777777" w:rsidR="0083052C" w:rsidRDefault="0083052C" w:rsidP="0083052C">
      <w:pPr>
        <w:rPr>
          <w:b/>
          <w:bCs/>
        </w:rPr>
      </w:pPr>
      <w:r w:rsidRPr="00C57904">
        <w:rPr>
          <w:b/>
          <w:bCs/>
        </w:rPr>
        <w:t>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1417"/>
        <w:gridCol w:w="1276"/>
        <w:gridCol w:w="1276"/>
        <w:gridCol w:w="1276"/>
      </w:tblGrid>
      <w:tr w:rsidR="00DE2A5F" w:rsidRPr="00DA2B6E" w14:paraId="2EDF7058" w14:textId="77777777" w:rsidTr="00DE2A5F">
        <w:trPr>
          <w:tblCellSpacing w:w="15" w:type="dxa"/>
        </w:trPr>
        <w:tc>
          <w:tcPr>
            <w:tcW w:w="249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D0AE52" w14:textId="0C7952A9" w:rsidR="00DE2A5F" w:rsidRPr="00DA2B6E" w:rsidRDefault="00DE2A5F" w:rsidP="0008063C">
            <w:pPr>
              <w:rPr>
                <w:b/>
                <w:bCs/>
              </w:rPr>
            </w:pPr>
          </w:p>
        </w:tc>
        <w:tc>
          <w:tcPr>
            <w:tcW w:w="13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BC689E" w14:textId="77777777" w:rsidR="00DE2A5F" w:rsidRPr="00DA2B6E" w:rsidRDefault="00DE2A5F" w:rsidP="00DE2A5F">
            <w:pPr>
              <w:jc w:val="center"/>
              <w:rPr>
                <w:b/>
                <w:bCs/>
              </w:rPr>
            </w:pPr>
            <w:r w:rsidRPr="00DA2B6E">
              <w:rPr>
                <w:b/>
                <w:bCs/>
              </w:rPr>
              <w:t>No response</w:t>
            </w:r>
          </w:p>
        </w:tc>
        <w:tc>
          <w:tcPr>
            <w:tcW w:w="124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062D4C" w14:textId="77777777" w:rsidR="00DE2A5F" w:rsidRPr="00DA2B6E" w:rsidRDefault="00DE2A5F" w:rsidP="00DE2A5F">
            <w:pPr>
              <w:jc w:val="center"/>
              <w:rPr>
                <w:b/>
                <w:bCs/>
              </w:rPr>
            </w:pPr>
            <w:r w:rsidRPr="00DA2B6E">
              <w:rPr>
                <w:b/>
                <w:bCs/>
              </w:rPr>
              <w:t>Decline</w:t>
            </w:r>
          </w:p>
        </w:tc>
        <w:tc>
          <w:tcPr>
            <w:tcW w:w="124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04836A" w14:textId="77777777" w:rsidR="00DE2A5F" w:rsidRPr="00DA2B6E" w:rsidRDefault="00DE2A5F" w:rsidP="00DE2A5F">
            <w:pPr>
              <w:jc w:val="center"/>
              <w:rPr>
                <w:b/>
                <w:bCs/>
              </w:rPr>
            </w:pPr>
            <w:r w:rsidRPr="00DA2B6E">
              <w:rPr>
                <w:b/>
                <w:bCs/>
              </w:rPr>
              <w:t>Firm</w:t>
            </w:r>
          </w:p>
        </w:tc>
        <w:tc>
          <w:tcPr>
            <w:tcW w:w="1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326C4C" w14:textId="77777777" w:rsidR="00DE2A5F" w:rsidRPr="00DA2B6E" w:rsidRDefault="00DE2A5F" w:rsidP="00DE2A5F">
            <w:pPr>
              <w:jc w:val="center"/>
              <w:rPr>
                <w:b/>
                <w:bCs/>
              </w:rPr>
            </w:pPr>
            <w:r w:rsidRPr="00DA2B6E">
              <w:rPr>
                <w:b/>
                <w:bCs/>
              </w:rPr>
              <w:t>Insurance</w:t>
            </w:r>
          </w:p>
        </w:tc>
      </w:tr>
      <w:tr w:rsidR="00DE2A5F" w:rsidRPr="00DA2B6E" w14:paraId="51A9D972" w14:textId="77777777" w:rsidTr="00DE2A5F">
        <w:trPr>
          <w:tblCellSpacing w:w="15" w:type="dxa"/>
        </w:trPr>
        <w:tc>
          <w:tcPr>
            <w:tcW w:w="249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E5B7DC" w14:textId="77777777" w:rsidR="00DE2A5F" w:rsidRPr="00DA2B6E" w:rsidRDefault="00DE2A5F" w:rsidP="0008063C">
            <w:pPr>
              <w:rPr>
                <w:b/>
                <w:bCs/>
              </w:rPr>
            </w:pPr>
            <w:r w:rsidRPr="00DA2B6E">
              <w:rPr>
                <w:b/>
                <w:bCs/>
              </w:rPr>
              <w:t>Contextual Offer</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23CB4F3C" w14:textId="77777777" w:rsidR="00DE2A5F" w:rsidRPr="00DA2B6E" w:rsidRDefault="00DE2A5F" w:rsidP="00DE2A5F">
            <w:pPr>
              <w:jc w:val="center"/>
            </w:pPr>
            <w:r w:rsidRPr="00DA2B6E">
              <w:t>7</w:t>
            </w:r>
            <w:r w:rsidRPr="00DE2A5F">
              <w:t xml:space="preserve">              </w:t>
            </w:r>
            <w:r w:rsidRPr="00DA2B6E">
              <w:t>(0.1%)</w:t>
            </w:r>
          </w:p>
        </w:tc>
        <w:tc>
          <w:tcPr>
            <w:tcW w:w="1246" w:type="dxa"/>
            <w:tcBorders>
              <w:top w:val="single" w:sz="6" w:space="0" w:color="E6E6E6"/>
              <w:left w:val="single" w:sz="6" w:space="0" w:color="E6E6E6"/>
              <w:bottom w:val="single" w:sz="6" w:space="0" w:color="E6E6E6"/>
              <w:right w:val="single" w:sz="6" w:space="0" w:color="E6E6E6"/>
            </w:tcBorders>
            <w:vAlign w:val="center"/>
            <w:hideMark/>
          </w:tcPr>
          <w:p w14:paraId="49AB823E" w14:textId="77777777" w:rsidR="00DE2A5F" w:rsidRPr="00DA2B6E" w:rsidRDefault="00DE2A5F" w:rsidP="00DE2A5F">
            <w:pPr>
              <w:jc w:val="center"/>
            </w:pPr>
            <w:r w:rsidRPr="00DA2B6E">
              <w:t>2694 (46.9%)</w:t>
            </w:r>
          </w:p>
        </w:tc>
        <w:tc>
          <w:tcPr>
            <w:tcW w:w="1246" w:type="dxa"/>
            <w:tcBorders>
              <w:top w:val="single" w:sz="6" w:space="0" w:color="E6E6E6"/>
              <w:left w:val="single" w:sz="6" w:space="0" w:color="E6E6E6"/>
              <w:bottom w:val="single" w:sz="6" w:space="0" w:color="E6E6E6"/>
              <w:right w:val="single" w:sz="6" w:space="0" w:color="E6E6E6"/>
            </w:tcBorders>
            <w:vAlign w:val="center"/>
            <w:hideMark/>
          </w:tcPr>
          <w:p w14:paraId="53B06F5F" w14:textId="77777777" w:rsidR="00DE2A5F" w:rsidRPr="00DA2B6E" w:rsidRDefault="00DE2A5F" w:rsidP="00DE2A5F">
            <w:pPr>
              <w:jc w:val="center"/>
            </w:pPr>
            <w:r w:rsidRPr="00DA2B6E">
              <w:t>1483 (25.8%)</w:t>
            </w:r>
          </w:p>
        </w:tc>
        <w:tc>
          <w:tcPr>
            <w:tcW w:w="1231" w:type="dxa"/>
            <w:tcBorders>
              <w:top w:val="single" w:sz="6" w:space="0" w:color="E6E6E6"/>
              <w:left w:val="single" w:sz="6" w:space="0" w:color="E6E6E6"/>
              <w:bottom w:val="single" w:sz="6" w:space="0" w:color="E6E6E6"/>
              <w:right w:val="single" w:sz="6" w:space="0" w:color="E6E6E6"/>
            </w:tcBorders>
            <w:vAlign w:val="center"/>
            <w:hideMark/>
          </w:tcPr>
          <w:p w14:paraId="32AD6A1A" w14:textId="77777777" w:rsidR="00DE2A5F" w:rsidRPr="00DA2B6E" w:rsidRDefault="00DE2A5F" w:rsidP="00DE2A5F">
            <w:pPr>
              <w:jc w:val="center"/>
            </w:pPr>
            <w:r w:rsidRPr="00DA2B6E">
              <w:t>1566 (27.2%)</w:t>
            </w:r>
          </w:p>
        </w:tc>
      </w:tr>
      <w:tr w:rsidR="00DE2A5F" w:rsidRPr="00DA2B6E" w14:paraId="64ED09E4" w14:textId="77777777" w:rsidTr="00DE2A5F">
        <w:trPr>
          <w:tblCellSpacing w:w="15" w:type="dxa"/>
        </w:trPr>
        <w:tc>
          <w:tcPr>
            <w:tcW w:w="249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07BC62" w14:textId="77777777" w:rsidR="00DE2A5F" w:rsidRPr="00DA2B6E" w:rsidRDefault="00DE2A5F" w:rsidP="0008063C">
            <w:pPr>
              <w:rPr>
                <w:b/>
                <w:bCs/>
              </w:rPr>
            </w:pPr>
            <w:r w:rsidRPr="00DA2B6E">
              <w:rPr>
                <w:b/>
                <w:bCs/>
              </w:rPr>
              <w:t>No Contextual Offer</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4FD2F0DD" w14:textId="77777777" w:rsidR="00DE2A5F" w:rsidRPr="00DA2B6E" w:rsidRDefault="00DE2A5F" w:rsidP="00DE2A5F">
            <w:pPr>
              <w:jc w:val="center"/>
            </w:pPr>
            <w:r w:rsidRPr="00DA2B6E">
              <w:t>791</w:t>
            </w:r>
            <w:r w:rsidRPr="00DE2A5F">
              <w:t xml:space="preserve">         </w:t>
            </w:r>
            <w:r w:rsidRPr="00DA2B6E">
              <w:t>(7.3%)</w:t>
            </w:r>
          </w:p>
        </w:tc>
        <w:tc>
          <w:tcPr>
            <w:tcW w:w="1246" w:type="dxa"/>
            <w:tcBorders>
              <w:top w:val="single" w:sz="6" w:space="0" w:color="E6E6E6"/>
              <w:left w:val="single" w:sz="6" w:space="0" w:color="E6E6E6"/>
              <w:bottom w:val="single" w:sz="6" w:space="0" w:color="E6E6E6"/>
              <w:right w:val="single" w:sz="6" w:space="0" w:color="E6E6E6"/>
            </w:tcBorders>
            <w:vAlign w:val="center"/>
            <w:hideMark/>
          </w:tcPr>
          <w:p w14:paraId="6A6F3276" w14:textId="77777777" w:rsidR="00DE2A5F" w:rsidRPr="00DA2B6E" w:rsidRDefault="00DE2A5F" w:rsidP="00DE2A5F">
            <w:pPr>
              <w:jc w:val="center"/>
            </w:pPr>
            <w:r w:rsidRPr="00DA2B6E">
              <w:t>5410 (49.9%)</w:t>
            </w:r>
          </w:p>
        </w:tc>
        <w:tc>
          <w:tcPr>
            <w:tcW w:w="1246" w:type="dxa"/>
            <w:tcBorders>
              <w:top w:val="single" w:sz="6" w:space="0" w:color="E6E6E6"/>
              <w:left w:val="single" w:sz="6" w:space="0" w:color="E6E6E6"/>
              <w:bottom w:val="single" w:sz="6" w:space="0" w:color="E6E6E6"/>
              <w:right w:val="single" w:sz="6" w:space="0" w:color="E6E6E6"/>
            </w:tcBorders>
            <w:vAlign w:val="center"/>
            <w:hideMark/>
          </w:tcPr>
          <w:p w14:paraId="46EFD373" w14:textId="77777777" w:rsidR="00DE2A5F" w:rsidRPr="00DA2B6E" w:rsidRDefault="00DE2A5F" w:rsidP="00DE2A5F">
            <w:pPr>
              <w:jc w:val="center"/>
            </w:pPr>
            <w:r w:rsidRPr="00DA2B6E">
              <w:t>2741 (25.3%)</w:t>
            </w:r>
          </w:p>
        </w:tc>
        <w:tc>
          <w:tcPr>
            <w:tcW w:w="1231" w:type="dxa"/>
            <w:tcBorders>
              <w:top w:val="single" w:sz="6" w:space="0" w:color="E6E6E6"/>
              <w:left w:val="single" w:sz="6" w:space="0" w:color="E6E6E6"/>
              <w:bottom w:val="single" w:sz="6" w:space="0" w:color="E6E6E6"/>
              <w:right w:val="single" w:sz="6" w:space="0" w:color="E6E6E6"/>
            </w:tcBorders>
            <w:vAlign w:val="center"/>
            <w:hideMark/>
          </w:tcPr>
          <w:p w14:paraId="798FC2E8" w14:textId="77777777" w:rsidR="00DE2A5F" w:rsidRPr="00DA2B6E" w:rsidRDefault="00DE2A5F" w:rsidP="00DE2A5F">
            <w:pPr>
              <w:jc w:val="center"/>
            </w:pPr>
            <w:r w:rsidRPr="00DA2B6E">
              <w:t>1903 (17.5%)</w:t>
            </w:r>
          </w:p>
        </w:tc>
      </w:tr>
    </w:tbl>
    <w:p w14:paraId="750E9BE5" w14:textId="387FF46D" w:rsidR="0083052C" w:rsidRPr="00DA17A3" w:rsidRDefault="0083052C" w:rsidP="0083052C">
      <w:pPr>
        <w:rPr>
          <w:i/>
          <w:iCs/>
        </w:rPr>
      </w:pPr>
      <w:r w:rsidRPr="00DA17A3">
        <w:rPr>
          <w:i/>
          <w:iCs/>
        </w:rPr>
        <w:t xml:space="preserve">Table </w:t>
      </w:r>
      <w:r>
        <w:rPr>
          <w:i/>
          <w:iCs/>
        </w:rPr>
        <w:t>2</w:t>
      </w:r>
      <w:r w:rsidRPr="00DA17A3">
        <w:rPr>
          <w:i/>
          <w:iCs/>
        </w:rPr>
        <w:t>. Showing the number of applicants in 2024-5 who had received the different types of offer and their decision on that offer.</w:t>
      </w:r>
    </w:p>
    <w:p w14:paraId="4C7FA4BD" w14:textId="08CA9F6B" w:rsidR="0083052C" w:rsidRDefault="0083052C" w:rsidP="0083052C">
      <w:pPr>
        <w:spacing w:after="0" w:line="240" w:lineRule="auto"/>
        <w:rPr>
          <w:rFonts w:ascii="Aptos Narrow" w:eastAsia="Times New Roman" w:hAnsi="Aptos Narrow" w:cs="Times New Roman"/>
          <w:color w:val="000000"/>
          <w:kern w:val="0"/>
          <w:lang w:eastAsia="en-GB"/>
          <w14:ligatures w14:val="none"/>
        </w:rPr>
      </w:pPr>
      <w:r w:rsidRPr="00C338DD">
        <w:rPr>
          <w:rFonts w:ascii="Aptos Narrow" w:eastAsia="Times New Roman" w:hAnsi="Aptos Narrow" w:cs="Times New Roman"/>
          <w:color w:val="000000"/>
          <w:kern w:val="0"/>
          <w:lang w:eastAsia="en-GB"/>
          <w14:ligatures w14:val="none"/>
        </w:rPr>
        <w:t xml:space="preserve">Table </w:t>
      </w:r>
      <w:r>
        <w:rPr>
          <w:rFonts w:ascii="Aptos Narrow" w:eastAsia="Times New Roman" w:hAnsi="Aptos Narrow" w:cs="Times New Roman"/>
          <w:color w:val="000000"/>
          <w:kern w:val="0"/>
          <w:lang w:eastAsia="en-GB"/>
          <w14:ligatures w14:val="none"/>
        </w:rPr>
        <w:t>2</w:t>
      </w:r>
      <w:r w:rsidRPr="00C338DD">
        <w:rPr>
          <w:rFonts w:ascii="Aptos Narrow" w:eastAsia="Times New Roman" w:hAnsi="Aptos Narrow" w:cs="Times New Roman"/>
          <w:color w:val="000000"/>
          <w:kern w:val="0"/>
          <w:lang w:eastAsia="en-GB"/>
          <w14:ligatures w14:val="none"/>
        </w:rPr>
        <w:t xml:space="preserve"> shows the number of </w:t>
      </w:r>
      <w:r>
        <w:rPr>
          <w:rFonts w:ascii="Aptos Narrow" w:eastAsia="Times New Roman" w:hAnsi="Aptos Narrow" w:cs="Times New Roman"/>
          <w:color w:val="000000"/>
          <w:kern w:val="0"/>
          <w:lang w:eastAsia="en-GB"/>
          <w14:ligatures w14:val="none"/>
        </w:rPr>
        <w:t>applicants in 2024-5</w:t>
      </w:r>
      <w:r w:rsidRPr="00C338DD">
        <w:rPr>
          <w:rFonts w:ascii="Aptos Narrow" w:eastAsia="Times New Roman" w:hAnsi="Aptos Narrow" w:cs="Times New Roman"/>
          <w:color w:val="000000"/>
          <w:kern w:val="0"/>
          <w:lang w:eastAsia="en-GB"/>
          <w14:ligatures w14:val="none"/>
        </w:rPr>
        <w:t xml:space="preserve"> who had received each type of offer and their </w:t>
      </w:r>
      <w:r>
        <w:rPr>
          <w:rFonts w:ascii="Aptos Narrow" w:eastAsia="Times New Roman" w:hAnsi="Aptos Narrow" w:cs="Times New Roman"/>
          <w:color w:val="000000"/>
          <w:kern w:val="0"/>
          <w:lang w:eastAsia="en-GB"/>
          <w14:ligatures w14:val="none"/>
        </w:rPr>
        <w:t xml:space="preserve">initial </w:t>
      </w:r>
      <w:r w:rsidRPr="00C338DD">
        <w:rPr>
          <w:rFonts w:ascii="Aptos Narrow" w:eastAsia="Times New Roman" w:hAnsi="Aptos Narrow" w:cs="Times New Roman"/>
          <w:color w:val="000000"/>
          <w:kern w:val="0"/>
          <w:lang w:eastAsia="en-GB"/>
          <w14:ligatures w14:val="none"/>
        </w:rPr>
        <w:t xml:space="preserve">decision status.  </w:t>
      </w:r>
      <w:r w:rsidRPr="005871FA">
        <w:rPr>
          <w:rFonts w:ascii="Aptos Narrow" w:eastAsia="Times New Roman" w:hAnsi="Aptos Narrow" w:cs="Times New Roman"/>
          <w:b/>
          <w:bCs/>
          <w:color w:val="7030A0"/>
          <w:kern w:val="0"/>
          <w:lang w:eastAsia="en-GB"/>
          <w14:ligatures w14:val="none"/>
        </w:rPr>
        <w:t>A greater proportion of those that received the contextual offer are in the insurance category, rather than declining their offer.</w:t>
      </w:r>
      <w:r w:rsidRPr="00C338DD">
        <w:rPr>
          <w:rFonts w:ascii="Aptos Narrow" w:eastAsia="Times New Roman" w:hAnsi="Aptos Narrow" w:cs="Times New Roman"/>
          <w:color w:val="000000"/>
          <w:kern w:val="0"/>
          <w:lang w:eastAsia="en-GB"/>
          <w14:ligatures w14:val="none"/>
        </w:rPr>
        <w:t xml:space="preserve"> </w:t>
      </w:r>
      <w:r>
        <w:rPr>
          <w:rFonts w:ascii="Aptos Narrow" w:eastAsia="Times New Roman" w:hAnsi="Aptos Narrow" w:cs="Times New Roman"/>
          <w:color w:val="000000"/>
          <w:kern w:val="0"/>
          <w:lang w:eastAsia="en-GB"/>
          <w14:ligatures w14:val="none"/>
        </w:rPr>
        <w:t xml:space="preserve">Interestingly, this group were also less likely to not respond to their offer at all. </w:t>
      </w:r>
      <w:r w:rsidRPr="00C338DD">
        <w:rPr>
          <w:rFonts w:ascii="Aptos Narrow" w:eastAsia="Times New Roman" w:hAnsi="Aptos Narrow" w:cs="Times New Roman"/>
          <w:color w:val="000000"/>
          <w:kern w:val="0"/>
          <w:lang w:eastAsia="en-GB"/>
          <w14:ligatures w14:val="none"/>
        </w:rPr>
        <w:t>A chi square test of association showed a significant association between the type of offer received and the decision for that offer (</w:t>
      </w:r>
      <w:r w:rsidRPr="00C338DD">
        <w:rPr>
          <w:rFonts w:ascii="Aptos Narrow" w:eastAsia="Times New Roman" w:hAnsi="Aptos Narrow" w:cs="Times New Roman"/>
          <w:i/>
          <w:iCs/>
          <w:color w:val="000000"/>
          <w:kern w:val="0"/>
          <w:lang w:eastAsia="en-GB"/>
          <w14:ligatures w14:val="none"/>
        </w:rPr>
        <w:t>χ2</w:t>
      </w:r>
      <w:r w:rsidRPr="00C338DD">
        <w:rPr>
          <w:rFonts w:ascii="Aptos Narrow" w:eastAsia="Times New Roman" w:hAnsi="Aptos Narrow" w:cs="Times New Roman"/>
          <w:color w:val="000000"/>
          <w:kern w:val="0"/>
          <w:lang w:eastAsia="en-GB"/>
          <w14:ligatures w14:val="none"/>
        </w:rPr>
        <w:t>=</w:t>
      </w:r>
      <w:r>
        <w:rPr>
          <w:rFonts w:ascii="Aptos Narrow" w:eastAsia="Times New Roman" w:hAnsi="Aptos Narrow" w:cs="Times New Roman"/>
          <w:color w:val="000000"/>
          <w:kern w:val="0"/>
          <w:lang w:eastAsia="en-GB"/>
          <w14:ligatures w14:val="none"/>
        </w:rPr>
        <w:t>578.12</w:t>
      </w:r>
      <w:r w:rsidRPr="00C338DD">
        <w:rPr>
          <w:rFonts w:ascii="Aptos Narrow" w:eastAsia="Times New Roman" w:hAnsi="Aptos Narrow" w:cs="Times New Roman"/>
          <w:color w:val="000000"/>
          <w:kern w:val="0"/>
          <w:lang w:eastAsia="en-GB"/>
          <w14:ligatures w14:val="none"/>
        </w:rPr>
        <w:t xml:space="preserve">, </w:t>
      </w:r>
      <w:r w:rsidRPr="00C338DD">
        <w:rPr>
          <w:rFonts w:ascii="Aptos Narrow" w:eastAsia="Times New Roman" w:hAnsi="Aptos Narrow" w:cs="Times New Roman"/>
          <w:i/>
          <w:iCs/>
          <w:color w:val="000000"/>
          <w:kern w:val="0"/>
          <w:lang w:eastAsia="en-GB"/>
          <w14:ligatures w14:val="none"/>
        </w:rPr>
        <w:t>df</w:t>
      </w:r>
      <w:r w:rsidRPr="00C338DD">
        <w:rPr>
          <w:rFonts w:ascii="Aptos Narrow" w:eastAsia="Times New Roman" w:hAnsi="Aptos Narrow" w:cs="Times New Roman"/>
          <w:color w:val="000000"/>
          <w:kern w:val="0"/>
          <w:lang w:eastAsia="en-GB"/>
          <w14:ligatures w14:val="none"/>
        </w:rPr>
        <w:t>=</w:t>
      </w:r>
      <w:r>
        <w:rPr>
          <w:rFonts w:ascii="Aptos Narrow" w:eastAsia="Times New Roman" w:hAnsi="Aptos Narrow" w:cs="Times New Roman"/>
          <w:color w:val="000000"/>
          <w:kern w:val="0"/>
          <w:lang w:eastAsia="en-GB"/>
          <w14:ligatures w14:val="none"/>
        </w:rPr>
        <w:t>3</w:t>
      </w:r>
      <w:r w:rsidRPr="00C338DD">
        <w:rPr>
          <w:rFonts w:ascii="Aptos Narrow" w:eastAsia="Times New Roman" w:hAnsi="Aptos Narrow" w:cs="Times New Roman"/>
          <w:color w:val="000000"/>
          <w:kern w:val="0"/>
          <w:lang w:eastAsia="en-GB"/>
          <w14:ligatures w14:val="none"/>
        </w:rPr>
        <w:t xml:space="preserve">, </w:t>
      </w:r>
      <w:r w:rsidRPr="00C338DD">
        <w:rPr>
          <w:rFonts w:ascii="Aptos Narrow" w:eastAsia="Times New Roman" w:hAnsi="Aptos Narrow" w:cs="Times New Roman"/>
          <w:i/>
          <w:iCs/>
          <w:color w:val="000000"/>
          <w:kern w:val="0"/>
          <w:lang w:eastAsia="en-GB"/>
          <w14:ligatures w14:val="none"/>
        </w:rPr>
        <w:t>p&lt;.001</w:t>
      </w:r>
      <w:r w:rsidRPr="00C338DD">
        <w:rPr>
          <w:rFonts w:ascii="Aptos Narrow" w:eastAsia="Times New Roman" w:hAnsi="Aptos Narrow" w:cs="Times New Roman"/>
          <w:color w:val="000000"/>
          <w:kern w:val="0"/>
          <w:lang w:eastAsia="en-GB"/>
          <w14:ligatures w14:val="none"/>
        </w:rPr>
        <w:t>).</w:t>
      </w:r>
    </w:p>
    <w:p w14:paraId="5975D138" w14:textId="77777777" w:rsidR="00D7485F" w:rsidRPr="00C338DD" w:rsidRDefault="00D7485F" w:rsidP="0083052C">
      <w:pPr>
        <w:spacing w:after="0" w:line="240" w:lineRule="auto"/>
        <w:rPr>
          <w:rFonts w:ascii="Aptos Narrow" w:eastAsia="Times New Roman" w:hAnsi="Aptos Narrow" w:cs="Times New Roman"/>
          <w:color w:val="000000"/>
          <w:kern w:val="0"/>
          <w:lang w:eastAsia="en-GB"/>
          <w14:ligatures w14:val="none"/>
        </w:rPr>
      </w:pPr>
    </w:p>
    <w:p w14:paraId="32308A3A" w14:textId="2D7DF3B5" w:rsidR="0083052C" w:rsidRPr="0083052C" w:rsidRDefault="0083052C" w:rsidP="0083052C">
      <w:pPr>
        <w:pStyle w:val="ListParagraph"/>
        <w:numPr>
          <w:ilvl w:val="0"/>
          <w:numId w:val="6"/>
        </w:numPr>
        <w:rPr>
          <w:b/>
          <w:bCs/>
        </w:rPr>
      </w:pPr>
      <w:r w:rsidRPr="0083052C">
        <w:rPr>
          <w:b/>
          <w:bCs/>
        </w:rPr>
        <w:t>Do a greater proportion of students who receive contextual offers ultimately enrol onto Aston programmes?</w:t>
      </w:r>
    </w:p>
    <w:p w14:paraId="0F7F457E" w14:textId="6C34B495" w:rsidR="00BB154F" w:rsidRDefault="0083052C" w:rsidP="0083052C">
      <w:r w:rsidRPr="0083052C">
        <w:rPr>
          <w:b/>
          <w:bCs/>
        </w:rPr>
        <w:t>Hypothesis:</w:t>
      </w:r>
      <w:r>
        <w:t xml:space="preserve"> </w:t>
      </w:r>
      <w:r w:rsidR="00BB154F" w:rsidRPr="00C338DD">
        <w:t xml:space="preserve">There will be a significant association between the type of offer an applicant receives (standard/ contextual/ unconditional) and their </w:t>
      </w:r>
      <w:r w:rsidR="00BB154F">
        <w:t>enrolment</w:t>
      </w:r>
      <w:r w:rsidR="00BB154F" w:rsidRPr="00C338DD">
        <w:t xml:space="preserve"> status (</w:t>
      </w:r>
      <w:r w:rsidR="00BB154F">
        <w:t>yes/no</w:t>
      </w:r>
      <w:r w:rsidR="00BB154F" w:rsidRPr="00C338DD">
        <w:t>)</w:t>
      </w:r>
    </w:p>
    <w:p w14:paraId="4B068BB7" w14:textId="212AAB38" w:rsidR="00DE2A5F" w:rsidRDefault="00DE2A5F" w:rsidP="0083052C">
      <w:r w:rsidRPr="00DE2A5F">
        <w:rPr>
          <w:b/>
          <w:bCs/>
        </w:rPr>
        <w:t>Method:</w:t>
      </w:r>
      <w:r>
        <w:t xml:space="preserve"> as above</w:t>
      </w:r>
    </w:p>
    <w:p w14:paraId="33E4DD9E" w14:textId="1B757639" w:rsidR="00DE2A5F" w:rsidRPr="00DE2A5F" w:rsidRDefault="00DE2A5F" w:rsidP="0083052C">
      <w:pPr>
        <w:rPr>
          <w:b/>
          <w:bCs/>
        </w:rPr>
      </w:pPr>
      <w:r w:rsidRPr="00DE2A5F">
        <w:rPr>
          <w:b/>
          <w:bCs/>
        </w:rPr>
        <w:t>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0"/>
        <w:gridCol w:w="1578"/>
        <w:gridCol w:w="1559"/>
      </w:tblGrid>
      <w:tr w:rsidR="00DE2A5F" w:rsidRPr="00300432" w14:paraId="4611D317"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5F4761" w14:textId="2564DECF" w:rsidR="00DE2A5F" w:rsidRPr="00300432" w:rsidRDefault="00DE2A5F" w:rsidP="00300432">
            <w:pPr>
              <w:rPr>
                <w:b/>
                <w:bCs/>
              </w:rPr>
            </w:pPr>
          </w:p>
        </w:tc>
        <w:tc>
          <w:tcPr>
            <w:tcW w:w="15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423C9C" w14:textId="77777777" w:rsidR="00DE2A5F" w:rsidRPr="00300432" w:rsidRDefault="00DE2A5F" w:rsidP="00DE2A5F">
            <w:pPr>
              <w:jc w:val="center"/>
              <w:rPr>
                <w:b/>
                <w:bCs/>
              </w:rPr>
            </w:pPr>
            <w:r w:rsidRPr="00300432">
              <w:rPr>
                <w:b/>
                <w:bCs/>
              </w:rPr>
              <w:t>Enrolled</w:t>
            </w:r>
          </w:p>
        </w:tc>
        <w:tc>
          <w:tcPr>
            <w:tcW w:w="151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1C2DEC" w14:textId="77777777" w:rsidR="00DE2A5F" w:rsidRPr="00300432" w:rsidRDefault="00DE2A5F" w:rsidP="00DE2A5F">
            <w:pPr>
              <w:jc w:val="center"/>
              <w:rPr>
                <w:b/>
                <w:bCs/>
              </w:rPr>
            </w:pPr>
            <w:r w:rsidRPr="00300432">
              <w:rPr>
                <w:b/>
                <w:bCs/>
              </w:rPr>
              <w:t>Not enrolled</w:t>
            </w:r>
          </w:p>
        </w:tc>
      </w:tr>
      <w:tr w:rsidR="00DE2A5F" w:rsidRPr="00300432" w14:paraId="560C10BA"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DBE8B5" w14:textId="77777777" w:rsidR="00DE2A5F" w:rsidRPr="00300432" w:rsidRDefault="00DE2A5F" w:rsidP="00300432">
            <w:pPr>
              <w:rPr>
                <w:b/>
                <w:bCs/>
              </w:rPr>
            </w:pPr>
            <w:r w:rsidRPr="00300432">
              <w:rPr>
                <w:b/>
                <w:bCs/>
              </w:rPr>
              <w:t>Contextual Offer</w:t>
            </w:r>
          </w:p>
        </w:tc>
        <w:tc>
          <w:tcPr>
            <w:tcW w:w="1548" w:type="dxa"/>
            <w:tcBorders>
              <w:top w:val="single" w:sz="6" w:space="0" w:color="E6E6E6"/>
              <w:left w:val="single" w:sz="6" w:space="0" w:color="E6E6E6"/>
              <w:bottom w:val="single" w:sz="6" w:space="0" w:color="E6E6E6"/>
              <w:right w:val="single" w:sz="6" w:space="0" w:color="E6E6E6"/>
            </w:tcBorders>
            <w:vAlign w:val="center"/>
            <w:hideMark/>
          </w:tcPr>
          <w:p w14:paraId="737B28F0" w14:textId="35F380F9" w:rsidR="00DE2A5F" w:rsidRPr="00300432" w:rsidRDefault="00DE2A5F" w:rsidP="00DE2A5F">
            <w:pPr>
              <w:jc w:val="center"/>
            </w:pPr>
            <w:r w:rsidRPr="00300432">
              <w:t xml:space="preserve">1050 </w:t>
            </w:r>
            <w:r>
              <w:t xml:space="preserve">       </w:t>
            </w:r>
            <w:r w:rsidRPr="00300432">
              <w:t>(18.3%)</w:t>
            </w:r>
          </w:p>
        </w:tc>
        <w:tc>
          <w:tcPr>
            <w:tcW w:w="1514" w:type="dxa"/>
            <w:tcBorders>
              <w:top w:val="single" w:sz="6" w:space="0" w:color="E6E6E6"/>
              <w:left w:val="single" w:sz="6" w:space="0" w:color="E6E6E6"/>
              <w:bottom w:val="single" w:sz="6" w:space="0" w:color="E6E6E6"/>
              <w:right w:val="single" w:sz="6" w:space="0" w:color="E6E6E6"/>
            </w:tcBorders>
            <w:vAlign w:val="center"/>
            <w:hideMark/>
          </w:tcPr>
          <w:p w14:paraId="56DE8070" w14:textId="17207ED0" w:rsidR="00DE2A5F" w:rsidRPr="00300432" w:rsidRDefault="00DE2A5F" w:rsidP="00DE2A5F">
            <w:pPr>
              <w:jc w:val="center"/>
            </w:pPr>
            <w:r w:rsidRPr="00300432">
              <w:t xml:space="preserve">4700 </w:t>
            </w:r>
            <w:r>
              <w:t xml:space="preserve">      </w:t>
            </w:r>
            <w:r w:rsidRPr="00300432">
              <w:t>(81.7%)</w:t>
            </w:r>
          </w:p>
        </w:tc>
      </w:tr>
      <w:tr w:rsidR="00DE2A5F" w:rsidRPr="00300432" w14:paraId="6F73918E" w14:textId="77777777" w:rsidTr="00DE2A5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EAA549" w14:textId="77777777" w:rsidR="00DE2A5F" w:rsidRPr="00300432" w:rsidRDefault="00DE2A5F" w:rsidP="00300432">
            <w:pPr>
              <w:rPr>
                <w:b/>
                <w:bCs/>
              </w:rPr>
            </w:pPr>
            <w:r w:rsidRPr="00300432">
              <w:rPr>
                <w:b/>
                <w:bCs/>
              </w:rPr>
              <w:t>No Contextual Offer</w:t>
            </w:r>
          </w:p>
        </w:tc>
        <w:tc>
          <w:tcPr>
            <w:tcW w:w="1548" w:type="dxa"/>
            <w:tcBorders>
              <w:top w:val="single" w:sz="6" w:space="0" w:color="E6E6E6"/>
              <w:left w:val="single" w:sz="6" w:space="0" w:color="E6E6E6"/>
              <w:bottom w:val="single" w:sz="6" w:space="0" w:color="E6E6E6"/>
              <w:right w:val="single" w:sz="6" w:space="0" w:color="E6E6E6"/>
            </w:tcBorders>
            <w:vAlign w:val="center"/>
            <w:hideMark/>
          </w:tcPr>
          <w:p w14:paraId="6FD3A2B4" w14:textId="1844CD39" w:rsidR="00DE2A5F" w:rsidRPr="00300432" w:rsidRDefault="00DE2A5F" w:rsidP="00DE2A5F">
            <w:pPr>
              <w:jc w:val="center"/>
            </w:pPr>
            <w:r w:rsidRPr="00300432">
              <w:t>1872</w:t>
            </w:r>
            <w:r>
              <w:t xml:space="preserve">      </w:t>
            </w:r>
            <w:r w:rsidRPr="00300432">
              <w:t xml:space="preserve"> (17.3%)</w:t>
            </w:r>
          </w:p>
        </w:tc>
        <w:tc>
          <w:tcPr>
            <w:tcW w:w="1514" w:type="dxa"/>
            <w:tcBorders>
              <w:top w:val="single" w:sz="6" w:space="0" w:color="E6E6E6"/>
              <w:left w:val="single" w:sz="6" w:space="0" w:color="E6E6E6"/>
              <w:bottom w:val="single" w:sz="6" w:space="0" w:color="E6E6E6"/>
              <w:right w:val="single" w:sz="6" w:space="0" w:color="E6E6E6"/>
            </w:tcBorders>
            <w:vAlign w:val="center"/>
            <w:hideMark/>
          </w:tcPr>
          <w:p w14:paraId="2515D4A5" w14:textId="3280A0B0" w:rsidR="00DE2A5F" w:rsidRPr="00300432" w:rsidRDefault="00DE2A5F" w:rsidP="00DE2A5F">
            <w:pPr>
              <w:jc w:val="center"/>
            </w:pPr>
            <w:r w:rsidRPr="00300432">
              <w:t xml:space="preserve">8973 </w:t>
            </w:r>
            <w:r>
              <w:t xml:space="preserve">     </w:t>
            </w:r>
            <w:r w:rsidRPr="00300432">
              <w:t>(82.7%)</w:t>
            </w:r>
          </w:p>
        </w:tc>
      </w:tr>
    </w:tbl>
    <w:p w14:paraId="401E215B" w14:textId="188421F0" w:rsidR="001D199F" w:rsidRDefault="005D3F2C" w:rsidP="001D199F">
      <w:r>
        <w:t xml:space="preserve">Table </w:t>
      </w:r>
      <w:r w:rsidR="0083052C">
        <w:t>3</w:t>
      </w:r>
      <w:r>
        <w:t xml:space="preserve">. </w:t>
      </w:r>
      <w:r w:rsidRPr="00DA17A3">
        <w:rPr>
          <w:i/>
          <w:iCs/>
        </w:rPr>
        <w:t xml:space="preserve">Showing the number of applicants in 2024-5 who had received the different types of offer and </w:t>
      </w:r>
      <w:r>
        <w:rPr>
          <w:i/>
          <w:iCs/>
        </w:rPr>
        <w:t>whether or not they ultimately enrolled</w:t>
      </w:r>
      <w:r w:rsidRPr="00DA17A3">
        <w:rPr>
          <w:i/>
          <w:iCs/>
        </w:rPr>
        <w:t>.</w:t>
      </w:r>
    </w:p>
    <w:p w14:paraId="1BBA286F" w14:textId="2ABF8517" w:rsidR="007A5DF4" w:rsidRDefault="00345165" w:rsidP="006F57AC">
      <w:r>
        <w:t xml:space="preserve">Table </w:t>
      </w:r>
      <w:r w:rsidR="0083052C">
        <w:t>3</w:t>
      </w:r>
      <w:r>
        <w:t xml:space="preserve"> shows that</w:t>
      </w:r>
      <w:r w:rsidR="005D3F2C">
        <w:t xml:space="preserve"> </w:t>
      </w:r>
      <w:r w:rsidR="005D3F2C" w:rsidRPr="005871FA">
        <w:rPr>
          <w:b/>
          <w:bCs/>
          <w:color w:val="7030A0"/>
        </w:rPr>
        <w:t>18.3% of those given a contextual offer ultimately enrolled vs. 17.3% of those given a standard offer</w:t>
      </w:r>
      <w:r w:rsidR="005D3F2C">
        <w:t xml:space="preserve">. </w:t>
      </w:r>
      <w:r w:rsidR="00A22CB7" w:rsidRPr="00C338DD">
        <w:rPr>
          <w:rFonts w:ascii="Aptos Narrow" w:eastAsia="Times New Roman" w:hAnsi="Aptos Narrow" w:cs="Times New Roman"/>
          <w:color w:val="000000"/>
          <w:kern w:val="0"/>
          <w:lang w:eastAsia="en-GB"/>
          <w14:ligatures w14:val="none"/>
        </w:rPr>
        <w:t xml:space="preserve">A chi square test of association showed </w:t>
      </w:r>
      <w:r w:rsidR="00A22CB7">
        <w:rPr>
          <w:rFonts w:ascii="Aptos Narrow" w:eastAsia="Times New Roman" w:hAnsi="Aptos Narrow" w:cs="Times New Roman"/>
          <w:color w:val="000000"/>
          <w:kern w:val="0"/>
          <w:lang w:eastAsia="en-GB"/>
          <w14:ligatures w14:val="none"/>
        </w:rPr>
        <w:t>no</w:t>
      </w:r>
      <w:r w:rsidR="00A22CB7" w:rsidRPr="00C338DD">
        <w:rPr>
          <w:rFonts w:ascii="Aptos Narrow" w:eastAsia="Times New Roman" w:hAnsi="Aptos Narrow" w:cs="Times New Roman"/>
          <w:color w:val="000000"/>
          <w:kern w:val="0"/>
          <w:lang w:eastAsia="en-GB"/>
          <w14:ligatures w14:val="none"/>
        </w:rPr>
        <w:t xml:space="preserve"> significant association between the type of offer received and the </w:t>
      </w:r>
      <w:r w:rsidR="009F5159">
        <w:rPr>
          <w:rFonts w:ascii="Aptos Narrow" w:eastAsia="Times New Roman" w:hAnsi="Aptos Narrow" w:cs="Times New Roman"/>
          <w:color w:val="000000"/>
          <w:kern w:val="0"/>
          <w:lang w:eastAsia="en-GB"/>
          <w14:ligatures w14:val="none"/>
        </w:rPr>
        <w:t>enrolment</w:t>
      </w:r>
      <w:r w:rsidR="00A22CB7" w:rsidRPr="00C338DD">
        <w:rPr>
          <w:rFonts w:ascii="Aptos Narrow" w:eastAsia="Times New Roman" w:hAnsi="Aptos Narrow" w:cs="Times New Roman"/>
          <w:color w:val="000000"/>
          <w:kern w:val="0"/>
          <w:lang w:eastAsia="en-GB"/>
          <w14:ligatures w14:val="none"/>
        </w:rPr>
        <w:t xml:space="preserve"> for that offer (</w:t>
      </w:r>
      <w:r w:rsidR="00A22CB7" w:rsidRPr="00C338DD">
        <w:rPr>
          <w:rFonts w:ascii="Aptos Narrow" w:eastAsia="Times New Roman" w:hAnsi="Aptos Narrow" w:cs="Times New Roman"/>
          <w:i/>
          <w:iCs/>
          <w:color w:val="000000"/>
          <w:kern w:val="0"/>
          <w:lang w:eastAsia="en-GB"/>
          <w14:ligatures w14:val="none"/>
        </w:rPr>
        <w:t>χ2</w:t>
      </w:r>
      <w:r w:rsidR="00A22CB7" w:rsidRPr="00C338DD">
        <w:rPr>
          <w:rFonts w:ascii="Aptos Narrow" w:eastAsia="Times New Roman" w:hAnsi="Aptos Narrow" w:cs="Times New Roman"/>
          <w:color w:val="000000"/>
          <w:kern w:val="0"/>
          <w:lang w:eastAsia="en-GB"/>
          <w14:ligatures w14:val="none"/>
        </w:rPr>
        <w:t>=</w:t>
      </w:r>
      <w:r w:rsidR="00017E8D">
        <w:rPr>
          <w:rFonts w:ascii="Aptos Narrow" w:eastAsia="Times New Roman" w:hAnsi="Aptos Narrow" w:cs="Times New Roman"/>
          <w:color w:val="000000"/>
          <w:kern w:val="0"/>
          <w:lang w:eastAsia="en-GB"/>
          <w14:ligatures w14:val="none"/>
        </w:rPr>
        <w:t>2.59</w:t>
      </w:r>
      <w:r w:rsidR="00A22CB7" w:rsidRPr="00C338DD">
        <w:rPr>
          <w:rFonts w:ascii="Aptos Narrow" w:eastAsia="Times New Roman" w:hAnsi="Aptos Narrow" w:cs="Times New Roman"/>
          <w:color w:val="000000"/>
          <w:kern w:val="0"/>
          <w:lang w:eastAsia="en-GB"/>
          <w14:ligatures w14:val="none"/>
        </w:rPr>
        <w:t xml:space="preserve">, </w:t>
      </w:r>
      <w:r w:rsidR="00A22CB7" w:rsidRPr="00C338DD">
        <w:rPr>
          <w:rFonts w:ascii="Aptos Narrow" w:eastAsia="Times New Roman" w:hAnsi="Aptos Narrow" w:cs="Times New Roman"/>
          <w:i/>
          <w:iCs/>
          <w:color w:val="000000"/>
          <w:kern w:val="0"/>
          <w:lang w:eastAsia="en-GB"/>
          <w14:ligatures w14:val="none"/>
        </w:rPr>
        <w:t>df</w:t>
      </w:r>
      <w:r w:rsidR="00A22CB7" w:rsidRPr="00C338DD">
        <w:rPr>
          <w:rFonts w:ascii="Aptos Narrow" w:eastAsia="Times New Roman" w:hAnsi="Aptos Narrow" w:cs="Times New Roman"/>
          <w:color w:val="000000"/>
          <w:kern w:val="0"/>
          <w:lang w:eastAsia="en-GB"/>
          <w14:ligatures w14:val="none"/>
        </w:rPr>
        <w:t>=</w:t>
      </w:r>
      <w:r w:rsidR="00017E8D">
        <w:rPr>
          <w:rFonts w:ascii="Aptos Narrow" w:eastAsia="Times New Roman" w:hAnsi="Aptos Narrow" w:cs="Times New Roman"/>
          <w:color w:val="000000"/>
          <w:kern w:val="0"/>
          <w:lang w:eastAsia="en-GB"/>
          <w14:ligatures w14:val="none"/>
        </w:rPr>
        <w:t>1</w:t>
      </w:r>
      <w:r w:rsidR="00A22CB7" w:rsidRPr="00C338DD">
        <w:rPr>
          <w:rFonts w:ascii="Aptos Narrow" w:eastAsia="Times New Roman" w:hAnsi="Aptos Narrow" w:cs="Times New Roman"/>
          <w:color w:val="000000"/>
          <w:kern w:val="0"/>
          <w:lang w:eastAsia="en-GB"/>
          <w14:ligatures w14:val="none"/>
        </w:rPr>
        <w:t xml:space="preserve">, </w:t>
      </w:r>
      <w:r w:rsidR="00A22CB7" w:rsidRPr="00C338DD">
        <w:rPr>
          <w:rFonts w:ascii="Aptos Narrow" w:eastAsia="Times New Roman" w:hAnsi="Aptos Narrow" w:cs="Times New Roman"/>
          <w:i/>
          <w:iCs/>
          <w:color w:val="000000"/>
          <w:kern w:val="0"/>
          <w:lang w:eastAsia="en-GB"/>
          <w14:ligatures w14:val="none"/>
        </w:rPr>
        <w:t>p</w:t>
      </w:r>
      <w:r w:rsidR="005F4543">
        <w:rPr>
          <w:rFonts w:ascii="Aptos Narrow" w:eastAsia="Times New Roman" w:hAnsi="Aptos Narrow" w:cs="Times New Roman"/>
          <w:i/>
          <w:iCs/>
          <w:color w:val="000000"/>
          <w:kern w:val="0"/>
          <w:lang w:eastAsia="en-GB"/>
          <w14:ligatures w14:val="none"/>
        </w:rPr>
        <w:t>=</w:t>
      </w:r>
      <w:r w:rsidR="00A22CB7" w:rsidRPr="00C338DD">
        <w:rPr>
          <w:rFonts w:ascii="Aptos Narrow" w:eastAsia="Times New Roman" w:hAnsi="Aptos Narrow" w:cs="Times New Roman"/>
          <w:i/>
          <w:iCs/>
          <w:color w:val="000000"/>
          <w:kern w:val="0"/>
          <w:lang w:eastAsia="en-GB"/>
          <w14:ligatures w14:val="none"/>
        </w:rPr>
        <w:t>.1</w:t>
      </w:r>
      <w:r w:rsidR="005F4543">
        <w:rPr>
          <w:rFonts w:ascii="Aptos Narrow" w:eastAsia="Times New Roman" w:hAnsi="Aptos Narrow" w:cs="Times New Roman"/>
          <w:i/>
          <w:iCs/>
          <w:color w:val="000000"/>
          <w:kern w:val="0"/>
          <w:lang w:eastAsia="en-GB"/>
          <w14:ligatures w14:val="none"/>
        </w:rPr>
        <w:t>08</w:t>
      </w:r>
      <w:r w:rsidR="00A22CB7" w:rsidRPr="00C338DD">
        <w:rPr>
          <w:rFonts w:ascii="Aptos Narrow" w:eastAsia="Times New Roman" w:hAnsi="Aptos Narrow" w:cs="Times New Roman"/>
          <w:color w:val="000000"/>
          <w:kern w:val="0"/>
          <w:lang w:eastAsia="en-GB"/>
          <w14:ligatures w14:val="none"/>
        </w:rPr>
        <w:t>).</w:t>
      </w:r>
      <w:r w:rsidR="005F4543">
        <w:t xml:space="preserve"> Note that </w:t>
      </w:r>
      <w:r w:rsidR="005F4543">
        <w:lastRenderedPageBreak/>
        <w:t>this analysis</w:t>
      </w:r>
      <w:r w:rsidR="005D3F2C">
        <w:t xml:space="preserve"> includes all those given offers</w:t>
      </w:r>
      <w:r w:rsidR="0083052C">
        <w:t>,</w:t>
      </w:r>
      <w:r w:rsidR="005D3F2C">
        <w:t xml:space="preserve"> regardless of whether or not they accepted them</w:t>
      </w:r>
      <w:r w:rsidR="005F4543">
        <w:t>.</w:t>
      </w:r>
      <w:r w:rsidR="00A02F64">
        <w:t xml:space="preserve"> </w:t>
      </w:r>
      <w:r w:rsidR="0083052C">
        <w:t>T</w:t>
      </w:r>
      <w:r w:rsidR="00A02F64">
        <w:t xml:space="preserve">his analysis </w:t>
      </w:r>
      <w:r w:rsidR="0083052C">
        <w:t xml:space="preserve">was repeated split </w:t>
      </w:r>
      <w:r w:rsidR="00A02F64">
        <w:t>by applicant decision type</w:t>
      </w:r>
      <w:r w:rsidR="0083052C">
        <w:t xml:space="preserve"> (firm/ insurance/ reject). </w:t>
      </w:r>
      <w:r w:rsidR="0083052C" w:rsidRPr="005871FA">
        <w:rPr>
          <w:b/>
          <w:bCs/>
          <w:color w:val="7030A0"/>
        </w:rPr>
        <w:t>A</w:t>
      </w:r>
      <w:r w:rsidR="00A435EA" w:rsidRPr="005871FA">
        <w:rPr>
          <w:b/>
          <w:bCs/>
          <w:color w:val="7030A0"/>
        </w:rPr>
        <w:t xml:space="preserve">mongst those who made Aston firm, those with contextual offers were </w:t>
      </w:r>
      <w:r w:rsidR="00A435EA" w:rsidRPr="005871FA">
        <w:rPr>
          <w:b/>
          <w:bCs/>
          <w:i/>
          <w:iCs/>
          <w:color w:val="7030A0"/>
          <w:u w:val="single"/>
        </w:rPr>
        <w:t>less</w:t>
      </w:r>
      <w:r w:rsidR="00A435EA" w:rsidRPr="005871FA">
        <w:rPr>
          <w:b/>
          <w:bCs/>
          <w:color w:val="7030A0"/>
        </w:rPr>
        <w:t xml:space="preserve"> likely to enrol</w:t>
      </w:r>
      <w:r w:rsidR="00D17651" w:rsidRPr="005871FA">
        <w:rPr>
          <w:b/>
          <w:bCs/>
          <w:color w:val="7030A0"/>
        </w:rPr>
        <w:t xml:space="preserve"> than those with standard offers</w:t>
      </w:r>
      <w:r w:rsidR="00D17651">
        <w:t xml:space="preserve"> (51.1% vs. 59.9%: </w:t>
      </w:r>
      <w:r w:rsidR="00D17651" w:rsidRPr="00C338DD">
        <w:rPr>
          <w:rFonts w:ascii="Aptos Narrow" w:eastAsia="Times New Roman" w:hAnsi="Aptos Narrow" w:cs="Times New Roman"/>
          <w:color w:val="000000"/>
          <w:kern w:val="0"/>
          <w:lang w:eastAsia="en-GB"/>
          <w14:ligatures w14:val="none"/>
        </w:rPr>
        <w:t>(</w:t>
      </w:r>
      <w:r w:rsidR="00D17651" w:rsidRPr="00C338DD">
        <w:rPr>
          <w:rFonts w:ascii="Aptos Narrow" w:eastAsia="Times New Roman" w:hAnsi="Aptos Narrow" w:cs="Times New Roman"/>
          <w:i/>
          <w:iCs/>
          <w:color w:val="000000"/>
          <w:kern w:val="0"/>
          <w:lang w:eastAsia="en-GB"/>
          <w14:ligatures w14:val="none"/>
        </w:rPr>
        <w:t>χ2</w:t>
      </w:r>
      <w:r w:rsidR="00D17651" w:rsidRPr="00C338DD">
        <w:rPr>
          <w:rFonts w:ascii="Aptos Narrow" w:eastAsia="Times New Roman" w:hAnsi="Aptos Narrow" w:cs="Times New Roman"/>
          <w:color w:val="000000"/>
          <w:kern w:val="0"/>
          <w:lang w:eastAsia="en-GB"/>
          <w14:ligatures w14:val="none"/>
        </w:rPr>
        <w:t>=</w:t>
      </w:r>
      <w:r w:rsidR="004F1755">
        <w:rPr>
          <w:rFonts w:ascii="Aptos Narrow" w:eastAsia="Times New Roman" w:hAnsi="Aptos Narrow" w:cs="Times New Roman"/>
          <w:color w:val="000000"/>
          <w:kern w:val="0"/>
          <w:lang w:eastAsia="en-GB"/>
          <w14:ligatures w14:val="none"/>
        </w:rPr>
        <w:t>30.07</w:t>
      </w:r>
      <w:r w:rsidR="00D17651" w:rsidRPr="00C338DD">
        <w:rPr>
          <w:rFonts w:ascii="Aptos Narrow" w:eastAsia="Times New Roman" w:hAnsi="Aptos Narrow" w:cs="Times New Roman"/>
          <w:color w:val="000000"/>
          <w:kern w:val="0"/>
          <w:lang w:eastAsia="en-GB"/>
          <w14:ligatures w14:val="none"/>
        </w:rPr>
        <w:t xml:space="preserve">, </w:t>
      </w:r>
      <w:r w:rsidR="00D17651" w:rsidRPr="00C338DD">
        <w:rPr>
          <w:rFonts w:ascii="Aptos Narrow" w:eastAsia="Times New Roman" w:hAnsi="Aptos Narrow" w:cs="Times New Roman"/>
          <w:i/>
          <w:iCs/>
          <w:color w:val="000000"/>
          <w:kern w:val="0"/>
          <w:lang w:eastAsia="en-GB"/>
          <w14:ligatures w14:val="none"/>
        </w:rPr>
        <w:t>df</w:t>
      </w:r>
      <w:r w:rsidR="00D17651" w:rsidRPr="00C338DD">
        <w:rPr>
          <w:rFonts w:ascii="Aptos Narrow" w:eastAsia="Times New Roman" w:hAnsi="Aptos Narrow" w:cs="Times New Roman"/>
          <w:color w:val="000000"/>
          <w:kern w:val="0"/>
          <w:lang w:eastAsia="en-GB"/>
          <w14:ligatures w14:val="none"/>
        </w:rPr>
        <w:t>=</w:t>
      </w:r>
      <w:r w:rsidR="00D17651">
        <w:rPr>
          <w:rFonts w:ascii="Aptos Narrow" w:eastAsia="Times New Roman" w:hAnsi="Aptos Narrow" w:cs="Times New Roman"/>
          <w:color w:val="000000"/>
          <w:kern w:val="0"/>
          <w:lang w:eastAsia="en-GB"/>
          <w14:ligatures w14:val="none"/>
        </w:rPr>
        <w:t>1</w:t>
      </w:r>
      <w:r w:rsidR="00D17651" w:rsidRPr="00C338DD">
        <w:rPr>
          <w:rFonts w:ascii="Aptos Narrow" w:eastAsia="Times New Roman" w:hAnsi="Aptos Narrow" w:cs="Times New Roman"/>
          <w:color w:val="000000"/>
          <w:kern w:val="0"/>
          <w:lang w:eastAsia="en-GB"/>
          <w14:ligatures w14:val="none"/>
        </w:rPr>
        <w:t xml:space="preserve">, </w:t>
      </w:r>
      <w:r w:rsidR="00D17651" w:rsidRPr="00C338DD">
        <w:rPr>
          <w:rFonts w:ascii="Aptos Narrow" w:eastAsia="Times New Roman" w:hAnsi="Aptos Narrow" w:cs="Times New Roman"/>
          <w:i/>
          <w:iCs/>
          <w:color w:val="000000"/>
          <w:kern w:val="0"/>
          <w:lang w:eastAsia="en-GB"/>
          <w14:ligatures w14:val="none"/>
        </w:rPr>
        <w:t>p</w:t>
      </w:r>
      <w:r w:rsidR="004F1755">
        <w:rPr>
          <w:rFonts w:ascii="Aptos Narrow" w:eastAsia="Times New Roman" w:hAnsi="Aptos Narrow" w:cs="Times New Roman"/>
          <w:i/>
          <w:iCs/>
          <w:color w:val="000000"/>
          <w:kern w:val="0"/>
          <w:lang w:eastAsia="en-GB"/>
          <w14:ligatures w14:val="none"/>
        </w:rPr>
        <w:t>&lt;.001</w:t>
      </w:r>
      <w:r w:rsidR="00D17651" w:rsidRPr="00C338DD">
        <w:rPr>
          <w:rFonts w:ascii="Aptos Narrow" w:eastAsia="Times New Roman" w:hAnsi="Aptos Narrow" w:cs="Times New Roman"/>
          <w:color w:val="000000"/>
          <w:kern w:val="0"/>
          <w:lang w:eastAsia="en-GB"/>
          <w14:ligatures w14:val="none"/>
        </w:rPr>
        <w:t>)</w:t>
      </w:r>
      <w:r w:rsidR="004F1755">
        <w:t>.</w:t>
      </w:r>
      <w:r w:rsidR="00D17651">
        <w:t xml:space="preserve"> </w:t>
      </w:r>
      <w:r w:rsidR="00A07A01">
        <w:t xml:space="preserve">Further analysis showed that </w:t>
      </w:r>
      <w:r w:rsidR="00336AF9">
        <w:t>these students were more likely to be rejected by Aston at confirmation (</w:t>
      </w:r>
      <w:r w:rsidR="0085341B">
        <w:t>29.7% vs. 25.1%</w:t>
      </w:r>
      <w:r w:rsidR="004164CF">
        <w:t>,</w:t>
      </w:r>
      <w:r w:rsidR="004164CF" w:rsidRPr="004164CF">
        <w:rPr>
          <w:rFonts w:ascii="Aptos Narrow" w:eastAsia="Times New Roman" w:hAnsi="Aptos Narrow" w:cs="Times New Roman"/>
          <w:i/>
          <w:iCs/>
          <w:color w:val="000000"/>
          <w:kern w:val="0"/>
          <w:lang w:eastAsia="en-GB"/>
          <w14:ligatures w14:val="none"/>
        </w:rPr>
        <w:t xml:space="preserve"> </w:t>
      </w:r>
      <w:r w:rsidR="004164CF" w:rsidRPr="00C338DD">
        <w:rPr>
          <w:rFonts w:ascii="Aptos Narrow" w:eastAsia="Times New Roman" w:hAnsi="Aptos Narrow" w:cs="Times New Roman"/>
          <w:i/>
          <w:iCs/>
          <w:color w:val="000000"/>
          <w:kern w:val="0"/>
          <w:lang w:eastAsia="en-GB"/>
          <w14:ligatures w14:val="none"/>
        </w:rPr>
        <w:t>χ2</w:t>
      </w:r>
      <w:r w:rsidR="004164CF" w:rsidRPr="00C338DD">
        <w:rPr>
          <w:rFonts w:ascii="Aptos Narrow" w:eastAsia="Times New Roman" w:hAnsi="Aptos Narrow" w:cs="Times New Roman"/>
          <w:color w:val="000000"/>
          <w:kern w:val="0"/>
          <w:lang w:eastAsia="en-GB"/>
          <w14:ligatures w14:val="none"/>
        </w:rPr>
        <w:t>=</w:t>
      </w:r>
      <w:r w:rsidR="00C9485A">
        <w:rPr>
          <w:rFonts w:ascii="Aptos Narrow" w:eastAsia="Times New Roman" w:hAnsi="Aptos Narrow" w:cs="Times New Roman"/>
          <w:color w:val="000000"/>
          <w:kern w:val="0"/>
          <w:lang w:eastAsia="en-GB"/>
          <w14:ligatures w14:val="none"/>
        </w:rPr>
        <w:t>10.20</w:t>
      </w:r>
      <w:r w:rsidR="004164CF" w:rsidRPr="00C338DD">
        <w:rPr>
          <w:rFonts w:ascii="Aptos Narrow" w:eastAsia="Times New Roman" w:hAnsi="Aptos Narrow" w:cs="Times New Roman"/>
          <w:color w:val="000000"/>
          <w:kern w:val="0"/>
          <w:lang w:eastAsia="en-GB"/>
          <w14:ligatures w14:val="none"/>
        </w:rPr>
        <w:t xml:space="preserve">, </w:t>
      </w:r>
      <w:r w:rsidR="004164CF" w:rsidRPr="00C338DD">
        <w:rPr>
          <w:rFonts w:ascii="Aptos Narrow" w:eastAsia="Times New Roman" w:hAnsi="Aptos Narrow" w:cs="Times New Roman"/>
          <w:i/>
          <w:iCs/>
          <w:color w:val="000000"/>
          <w:kern w:val="0"/>
          <w:lang w:eastAsia="en-GB"/>
          <w14:ligatures w14:val="none"/>
        </w:rPr>
        <w:t>df</w:t>
      </w:r>
      <w:r w:rsidR="004164CF" w:rsidRPr="00C338DD">
        <w:rPr>
          <w:rFonts w:ascii="Aptos Narrow" w:eastAsia="Times New Roman" w:hAnsi="Aptos Narrow" w:cs="Times New Roman"/>
          <w:color w:val="000000"/>
          <w:kern w:val="0"/>
          <w:lang w:eastAsia="en-GB"/>
          <w14:ligatures w14:val="none"/>
        </w:rPr>
        <w:t>=</w:t>
      </w:r>
      <w:r w:rsidR="004164CF">
        <w:rPr>
          <w:rFonts w:ascii="Aptos Narrow" w:eastAsia="Times New Roman" w:hAnsi="Aptos Narrow" w:cs="Times New Roman"/>
          <w:color w:val="000000"/>
          <w:kern w:val="0"/>
          <w:lang w:eastAsia="en-GB"/>
          <w14:ligatures w14:val="none"/>
        </w:rPr>
        <w:t>1</w:t>
      </w:r>
      <w:r w:rsidR="004164CF" w:rsidRPr="00C338DD">
        <w:rPr>
          <w:rFonts w:ascii="Aptos Narrow" w:eastAsia="Times New Roman" w:hAnsi="Aptos Narrow" w:cs="Times New Roman"/>
          <w:color w:val="000000"/>
          <w:kern w:val="0"/>
          <w:lang w:eastAsia="en-GB"/>
          <w14:ligatures w14:val="none"/>
        </w:rPr>
        <w:t xml:space="preserve">, </w:t>
      </w:r>
      <w:r w:rsidR="004164CF" w:rsidRPr="00C338DD">
        <w:rPr>
          <w:rFonts w:ascii="Aptos Narrow" w:eastAsia="Times New Roman" w:hAnsi="Aptos Narrow" w:cs="Times New Roman"/>
          <w:i/>
          <w:iCs/>
          <w:color w:val="000000"/>
          <w:kern w:val="0"/>
          <w:lang w:eastAsia="en-GB"/>
          <w14:ligatures w14:val="none"/>
        </w:rPr>
        <w:t>p</w:t>
      </w:r>
      <w:r w:rsidR="004164CF">
        <w:rPr>
          <w:rFonts w:ascii="Aptos Narrow" w:eastAsia="Times New Roman" w:hAnsi="Aptos Narrow" w:cs="Times New Roman"/>
          <w:i/>
          <w:iCs/>
          <w:color w:val="000000"/>
          <w:kern w:val="0"/>
          <w:lang w:eastAsia="en-GB"/>
          <w14:ligatures w14:val="none"/>
        </w:rPr>
        <w:t>&lt;.01</w:t>
      </w:r>
      <w:r w:rsidR="008D1587">
        <w:rPr>
          <w:rFonts w:ascii="Aptos Narrow" w:eastAsia="Times New Roman" w:hAnsi="Aptos Narrow" w:cs="Times New Roman"/>
          <w:i/>
          <w:iCs/>
          <w:color w:val="000000"/>
          <w:kern w:val="0"/>
          <w:lang w:eastAsia="en-GB"/>
          <w14:ligatures w14:val="none"/>
        </w:rPr>
        <w:t>).</w:t>
      </w:r>
      <w:r w:rsidR="004164CF">
        <w:t xml:space="preserve"> </w:t>
      </w:r>
      <w:r w:rsidR="0016347C" w:rsidRPr="005871FA">
        <w:rPr>
          <w:b/>
          <w:bCs/>
          <w:color w:val="7030A0"/>
        </w:rPr>
        <w:t>Amongst those choosing Aston as insurance</w:t>
      </w:r>
      <w:r w:rsidR="006F57AC" w:rsidRPr="005871FA">
        <w:rPr>
          <w:b/>
          <w:bCs/>
          <w:color w:val="7030A0"/>
        </w:rPr>
        <w:t xml:space="preserve"> those receiving contextual offers are significantly </w:t>
      </w:r>
      <w:r w:rsidR="006F57AC" w:rsidRPr="005871FA">
        <w:rPr>
          <w:b/>
          <w:bCs/>
          <w:i/>
          <w:iCs/>
          <w:color w:val="7030A0"/>
        </w:rPr>
        <w:t>more</w:t>
      </w:r>
      <w:r w:rsidR="006F57AC" w:rsidRPr="005871FA">
        <w:rPr>
          <w:b/>
          <w:bCs/>
          <w:color w:val="7030A0"/>
        </w:rPr>
        <w:t xml:space="preserve"> likely to enrol</w:t>
      </w:r>
      <w:r w:rsidR="00CA6B95" w:rsidRPr="005871FA">
        <w:rPr>
          <w:color w:val="7030A0"/>
        </w:rPr>
        <w:t xml:space="preserve"> </w:t>
      </w:r>
      <w:r w:rsidR="00CA6B95">
        <w:t xml:space="preserve">(18.6% vs. 11.5%: </w:t>
      </w:r>
      <w:r w:rsidR="00CA6B95" w:rsidRPr="00C338DD">
        <w:rPr>
          <w:rFonts w:ascii="Aptos Narrow" w:eastAsia="Times New Roman" w:hAnsi="Aptos Narrow" w:cs="Times New Roman"/>
          <w:i/>
          <w:iCs/>
          <w:color w:val="000000"/>
          <w:kern w:val="0"/>
          <w:lang w:eastAsia="en-GB"/>
          <w14:ligatures w14:val="none"/>
        </w:rPr>
        <w:t>χ2</w:t>
      </w:r>
      <w:r w:rsidR="00CA6B95" w:rsidRPr="00C338DD">
        <w:rPr>
          <w:rFonts w:ascii="Aptos Narrow" w:eastAsia="Times New Roman" w:hAnsi="Aptos Narrow" w:cs="Times New Roman"/>
          <w:color w:val="000000"/>
          <w:kern w:val="0"/>
          <w:lang w:eastAsia="en-GB"/>
          <w14:ligatures w14:val="none"/>
        </w:rPr>
        <w:t>=</w:t>
      </w:r>
      <w:r w:rsidR="00CA6B95">
        <w:rPr>
          <w:rFonts w:ascii="Aptos Narrow" w:eastAsia="Times New Roman" w:hAnsi="Aptos Narrow" w:cs="Times New Roman"/>
          <w:color w:val="000000"/>
          <w:kern w:val="0"/>
          <w:lang w:eastAsia="en-GB"/>
          <w14:ligatures w14:val="none"/>
        </w:rPr>
        <w:t>34.85</w:t>
      </w:r>
      <w:r w:rsidR="00CA6B95" w:rsidRPr="00C338DD">
        <w:rPr>
          <w:rFonts w:ascii="Aptos Narrow" w:eastAsia="Times New Roman" w:hAnsi="Aptos Narrow" w:cs="Times New Roman"/>
          <w:color w:val="000000"/>
          <w:kern w:val="0"/>
          <w:lang w:eastAsia="en-GB"/>
          <w14:ligatures w14:val="none"/>
        </w:rPr>
        <w:t xml:space="preserve">, </w:t>
      </w:r>
      <w:r w:rsidR="00CA6B95" w:rsidRPr="00C338DD">
        <w:rPr>
          <w:rFonts w:ascii="Aptos Narrow" w:eastAsia="Times New Roman" w:hAnsi="Aptos Narrow" w:cs="Times New Roman"/>
          <w:i/>
          <w:iCs/>
          <w:color w:val="000000"/>
          <w:kern w:val="0"/>
          <w:lang w:eastAsia="en-GB"/>
          <w14:ligatures w14:val="none"/>
        </w:rPr>
        <w:t>df</w:t>
      </w:r>
      <w:r w:rsidR="00CA6B95" w:rsidRPr="00C338DD">
        <w:rPr>
          <w:rFonts w:ascii="Aptos Narrow" w:eastAsia="Times New Roman" w:hAnsi="Aptos Narrow" w:cs="Times New Roman"/>
          <w:color w:val="000000"/>
          <w:kern w:val="0"/>
          <w:lang w:eastAsia="en-GB"/>
          <w14:ligatures w14:val="none"/>
        </w:rPr>
        <w:t>=</w:t>
      </w:r>
      <w:r w:rsidR="00CA6B95">
        <w:rPr>
          <w:rFonts w:ascii="Aptos Narrow" w:eastAsia="Times New Roman" w:hAnsi="Aptos Narrow" w:cs="Times New Roman"/>
          <w:color w:val="000000"/>
          <w:kern w:val="0"/>
          <w:lang w:eastAsia="en-GB"/>
          <w14:ligatures w14:val="none"/>
        </w:rPr>
        <w:t>1</w:t>
      </w:r>
      <w:r w:rsidR="00CA6B95" w:rsidRPr="00C338DD">
        <w:rPr>
          <w:rFonts w:ascii="Aptos Narrow" w:eastAsia="Times New Roman" w:hAnsi="Aptos Narrow" w:cs="Times New Roman"/>
          <w:color w:val="000000"/>
          <w:kern w:val="0"/>
          <w:lang w:eastAsia="en-GB"/>
          <w14:ligatures w14:val="none"/>
        </w:rPr>
        <w:t xml:space="preserve">, </w:t>
      </w:r>
      <w:r w:rsidR="00CA6B95" w:rsidRPr="00C338DD">
        <w:rPr>
          <w:rFonts w:ascii="Aptos Narrow" w:eastAsia="Times New Roman" w:hAnsi="Aptos Narrow" w:cs="Times New Roman"/>
          <w:i/>
          <w:iCs/>
          <w:color w:val="000000"/>
          <w:kern w:val="0"/>
          <w:lang w:eastAsia="en-GB"/>
          <w14:ligatures w14:val="none"/>
        </w:rPr>
        <w:t>p</w:t>
      </w:r>
      <w:r w:rsidR="00CA6B95">
        <w:rPr>
          <w:rFonts w:ascii="Aptos Narrow" w:eastAsia="Times New Roman" w:hAnsi="Aptos Narrow" w:cs="Times New Roman"/>
          <w:i/>
          <w:iCs/>
          <w:color w:val="000000"/>
          <w:kern w:val="0"/>
          <w:lang w:eastAsia="en-GB"/>
          <w14:ligatures w14:val="none"/>
        </w:rPr>
        <w:t>&lt;.001</w:t>
      </w:r>
      <w:r w:rsidR="00CA6B95">
        <w:t>)</w:t>
      </w:r>
      <w:r w:rsidR="006F57AC">
        <w:t xml:space="preserve">. </w:t>
      </w:r>
      <w:r w:rsidR="00CA6B95">
        <w:t>Not surprisingly, t</w:t>
      </w:r>
      <w:r w:rsidR="007C493E">
        <w:t>hose that decline us end up enrolled extremely rarely.</w:t>
      </w:r>
    </w:p>
    <w:p w14:paraId="4B129792" w14:textId="22E1AF59" w:rsidR="003E31F4" w:rsidRDefault="00617ACA" w:rsidP="00617ACA">
      <w:r>
        <w:t xml:space="preserve">Note that </w:t>
      </w:r>
      <w:r w:rsidR="007A5DF4">
        <w:t xml:space="preserve">ABB+ applicants behave differently to </w:t>
      </w:r>
      <w:r w:rsidR="00C84971">
        <w:t xml:space="preserve">those with lower grades. </w:t>
      </w:r>
      <w:r w:rsidR="00625E0D">
        <w:t>Non-ABBs firm Aston at a similar rate regardless of type of offer (the difference is seen in insurance choices). ABB+</w:t>
      </w:r>
      <w:r w:rsidR="0083052C">
        <w:t xml:space="preserve"> applicants </w:t>
      </w:r>
      <w:r w:rsidR="003E31F4">
        <w:t xml:space="preserve">are both more likely to put Aston as insurance AND less likely to put Aston as firm. </w:t>
      </w:r>
    </w:p>
    <w:p w14:paraId="619218EC" w14:textId="77777777" w:rsidR="003B5A61" w:rsidRPr="003B5A61" w:rsidRDefault="003B5A61" w:rsidP="003B5A61">
      <w:pPr>
        <w:pStyle w:val="ListParagraph"/>
        <w:numPr>
          <w:ilvl w:val="0"/>
          <w:numId w:val="6"/>
        </w:numPr>
        <w:rPr>
          <w:b/>
          <w:bCs/>
        </w:rPr>
      </w:pPr>
      <w:r w:rsidRPr="003B5A61">
        <w:rPr>
          <w:b/>
          <w:bCs/>
        </w:rPr>
        <w:t>Overall impact of contextual offers on FSM eligible enrolment and on enrolment of students declaring a disability</w:t>
      </w:r>
    </w:p>
    <w:p w14:paraId="64A9F3DE" w14:textId="0C58738C" w:rsidR="003B5A61" w:rsidRDefault="003B5A61" w:rsidP="003B5A61">
      <w:r>
        <w:t xml:space="preserve">Patterns across FSM eligible students and students declaring a disability were similar to the main cohort (they more likely to choose Aston as insurance when receiving a contextual offer).  Type of offer had no association with enrolment status in FSM eligible students. </w:t>
      </w:r>
      <w:r w:rsidRPr="005871FA">
        <w:rPr>
          <w:b/>
          <w:bCs/>
          <w:color w:val="7030A0"/>
        </w:rPr>
        <w:t xml:space="preserve">Amongst students declaring a disability those who did </w:t>
      </w:r>
      <w:r w:rsidRPr="005871FA">
        <w:rPr>
          <w:b/>
          <w:bCs/>
          <w:i/>
          <w:iCs/>
          <w:color w:val="7030A0"/>
        </w:rPr>
        <w:t>not</w:t>
      </w:r>
      <w:r w:rsidRPr="005871FA">
        <w:rPr>
          <w:b/>
          <w:bCs/>
          <w:color w:val="7030A0"/>
        </w:rPr>
        <w:t xml:space="preserve"> receive a contextual offer were </w:t>
      </w:r>
      <w:r w:rsidRPr="005871FA">
        <w:rPr>
          <w:b/>
          <w:bCs/>
          <w:i/>
          <w:iCs/>
          <w:color w:val="7030A0"/>
        </w:rPr>
        <w:t>more</w:t>
      </w:r>
      <w:r w:rsidRPr="005871FA">
        <w:rPr>
          <w:b/>
          <w:bCs/>
          <w:color w:val="7030A0"/>
        </w:rPr>
        <w:t xml:space="preserve"> likely to enrol (18.2% vs. 14.6%).</w:t>
      </w:r>
    </w:p>
    <w:p w14:paraId="41607E84" w14:textId="66FD79B7" w:rsidR="000A3ED8" w:rsidRPr="000A3ED8" w:rsidRDefault="000A3ED8" w:rsidP="003B5A61">
      <w:r w:rsidRPr="000A3ED8">
        <w:t xml:space="preserve">The proportion of students enrolled who had declared a disability was remarkably similar across 2024 vs. 2025 (15.7% vs. 16%: </w:t>
      </w:r>
      <w:r w:rsidRPr="003B5A61">
        <w:rPr>
          <w:rFonts w:ascii="Aptos Narrow" w:eastAsia="Times New Roman" w:hAnsi="Aptos Narrow" w:cs="Times New Roman"/>
          <w:i/>
          <w:iCs/>
          <w:color w:val="000000"/>
          <w:kern w:val="0"/>
          <w:lang w:eastAsia="en-GB"/>
          <w14:ligatures w14:val="none"/>
        </w:rPr>
        <w:t>χ</w:t>
      </w:r>
      <w:r w:rsidRPr="003029ED">
        <w:rPr>
          <w:rFonts w:ascii="Aptos Narrow" w:eastAsia="Times New Roman" w:hAnsi="Aptos Narrow" w:cs="Times New Roman"/>
          <w:i/>
          <w:iCs/>
          <w:color w:val="000000"/>
          <w:kern w:val="0"/>
          <w:sz w:val="18"/>
          <w:szCs w:val="18"/>
          <w:lang w:eastAsia="en-GB"/>
          <w14:ligatures w14:val="none"/>
        </w:rPr>
        <w:t>2</w:t>
      </w:r>
      <w:r w:rsidRPr="003B5A61">
        <w:rPr>
          <w:rFonts w:ascii="Aptos Narrow" w:eastAsia="Times New Roman" w:hAnsi="Aptos Narrow" w:cs="Times New Roman"/>
          <w:color w:val="000000"/>
          <w:kern w:val="0"/>
          <w:lang w:eastAsia="en-GB"/>
          <w14:ligatures w14:val="none"/>
        </w:rPr>
        <w:t>&lt;1</w:t>
      </w:r>
      <w:r w:rsidRPr="000A3ED8">
        <w:t>)</w:t>
      </w:r>
      <w:r w:rsidR="00CF0A99" w:rsidRPr="00CF0A99">
        <w:t xml:space="preserve"> </w:t>
      </w:r>
      <w:r w:rsidR="00CF0A99">
        <w:t>although the absolute numbers were larger in 2025 (293 vs. 351)</w:t>
      </w:r>
      <w:r>
        <w:t xml:space="preserve">. </w:t>
      </w:r>
      <w:r w:rsidRPr="000A3ED8">
        <w:t xml:space="preserve">The proportion of students enrolled who had declared </w:t>
      </w:r>
      <w:r>
        <w:t>FSM eligibility</w:t>
      </w:r>
      <w:r w:rsidRPr="000A3ED8">
        <w:t xml:space="preserve"> was </w:t>
      </w:r>
      <w:r w:rsidR="00CF0A99">
        <w:t xml:space="preserve">also </w:t>
      </w:r>
      <w:r w:rsidRPr="000A3ED8">
        <w:t>remarkably similar across 2024 vs. 2025 (</w:t>
      </w:r>
      <w:r>
        <w:t>20.2</w:t>
      </w:r>
      <w:r w:rsidRPr="000A3ED8">
        <w:t>% vs. 1</w:t>
      </w:r>
      <w:r>
        <w:t>9.</w:t>
      </w:r>
      <w:r w:rsidR="00CF0A99">
        <w:t>6</w:t>
      </w:r>
      <w:r w:rsidRPr="000A3ED8">
        <w:t xml:space="preserve">%: </w:t>
      </w:r>
      <w:r w:rsidRPr="003B5A61">
        <w:rPr>
          <w:rFonts w:ascii="Aptos Narrow" w:eastAsia="Times New Roman" w:hAnsi="Aptos Narrow" w:cs="Times New Roman"/>
          <w:i/>
          <w:iCs/>
          <w:color w:val="000000"/>
          <w:kern w:val="0"/>
          <w:lang w:eastAsia="en-GB"/>
          <w14:ligatures w14:val="none"/>
        </w:rPr>
        <w:t>χ2</w:t>
      </w:r>
      <w:r w:rsidRPr="003B5A61">
        <w:rPr>
          <w:rFonts w:ascii="Aptos Narrow" w:eastAsia="Times New Roman" w:hAnsi="Aptos Narrow" w:cs="Times New Roman"/>
          <w:color w:val="000000"/>
          <w:kern w:val="0"/>
          <w:lang w:eastAsia="en-GB"/>
          <w14:ligatures w14:val="none"/>
        </w:rPr>
        <w:t>&lt;1</w:t>
      </w:r>
      <w:r w:rsidRPr="000A3ED8">
        <w:t>)</w:t>
      </w:r>
      <w:r w:rsidR="00CF0A99">
        <w:t xml:space="preserve">, although the absolute </w:t>
      </w:r>
      <w:r w:rsidR="0026564B">
        <w:t>numbers</w:t>
      </w:r>
      <w:r w:rsidR="00CF0A99">
        <w:t xml:space="preserve"> were larger in 2025 (782 vs. 887)</w:t>
      </w:r>
      <w:r>
        <w:t xml:space="preserve">. </w:t>
      </w:r>
    </w:p>
    <w:p w14:paraId="58255CEC" w14:textId="477D62AB" w:rsidR="00E30D92" w:rsidRPr="005871FA" w:rsidRDefault="003B5A61" w:rsidP="00E30D92">
      <w:pPr>
        <w:spacing w:after="0" w:line="240" w:lineRule="auto"/>
        <w:rPr>
          <w:rFonts w:eastAsia="Times New Roman"/>
          <w:b/>
          <w:bCs/>
          <w:color w:val="7030A0"/>
          <w:kern w:val="0"/>
          <w:lang w:eastAsia="en-GB"/>
          <w14:ligatures w14:val="none"/>
        </w:rPr>
      </w:pPr>
      <w:r>
        <w:rPr>
          <w:rFonts w:eastAsia="Times New Roman" w:cs="Times New Roman"/>
          <w:b/>
          <w:bCs/>
          <w:color w:val="000000"/>
          <w:kern w:val="0"/>
          <w:lang w:eastAsia="en-GB"/>
          <w14:ligatures w14:val="none"/>
        </w:rPr>
        <w:t>C</w:t>
      </w:r>
      <w:r w:rsidR="003A0F65" w:rsidRPr="0026564B">
        <w:rPr>
          <w:rFonts w:eastAsia="Times New Roman" w:cs="Times New Roman"/>
          <w:b/>
          <w:bCs/>
          <w:color w:val="000000"/>
          <w:kern w:val="0"/>
          <w:lang w:eastAsia="en-GB"/>
          <w14:ligatures w14:val="none"/>
        </w:rPr>
        <w:t xml:space="preserve">onclusion: </w:t>
      </w:r>
      <w:r w:rsidR="00E30D92" w:rsidRPr="0026564B">
        <w:rPr>
          <w:rFonts w:eastAsia="Times New Roman"/>
          <w:color w:val="000000"/>
          <w:kern w:val="0"/>
          <w:lang w:eastAsia="en-GB"/>
          <w14:ligatures w14:val="none"/>
        </w:rPr>
        <w:t xml:space="preserve">This evaluation set out to assess whether contextual offers at Aston University widen access by increasing applicant engagement, acceptance, and enrolment among targeted groups. </w:t>
      </w:r>
      <w:r w:rsidR="00E30D92" w:rsidRPr="005871FA">
        <w:rPr>
          <w:rFonts w:eastAsia="Times New Roman"/>
          <w:b/>
          <w:bCs/>
          <w:color w:val="7030A0"/>
          <w:kern w:val="0"/>
          <w:lang w:eastAsia="en-GB"/>
          <w14:ligatures w14:val="none"/>
        </w:rPr>
        <w:t>Taken together, the findings indicate that contextual offers achieve important behavioural and perceptual effects, but do not increase firm acceptances or overall enrolment rates in isolation.</w:t>
      </w:r>
    </w:p>
    <w:p w14:paraId="69AE948B" w14:textId="77777777" w:rsidR="00E30D92" w:rsidRPr="0026564B" w:rsidRDefault="00E30D92" w:rsidP="00E30D92">
      <w:pPr>
        <w:spacing w:after="0" w:line="240" w:lineRule="auto"/>
        <w:rPr>
          <w:rFonts w:eastAsia="Times New Roman"/>
          <w:color w:val="000000"/>
          <w:kern w:val="0"/>
          <w:lang w:eastAsia="en-GB"/>
          <w14:ligatures w14:val="none"/>
        </w:rPr>
      </w:pPr>
    </w:p>
    <w:p w14:paraId="61920204" w14:textId="77777777" w:rsidR="003B5A61" w:rsidRDefault="00E30D92" w:rsidP="00E30D92">
      <w:pPr>
        <w:spacing w:after="0" w:line="240" w:lineRule="auto"/>
        <w:rPr>
          <w:rFonts w:eastAsia="Times New Roman" w:cs="Times New Roman"/>
          <w:color w:val="000000"/>
          <w:kern w:val="0"/>
          <w:lang w:eastAsia="en-GB"/>
          <w14:ligatures w14:val="none"/>
        </w:rPr>
      </w:pPr>
      <w:r w:rsidRPr="00E30D92">
        <w:rPr>
          <w:rFonts w:eastAsia="Times New Roman" w:cs="Times New Roman"/>
          <w:color w:val="000000"/>
          <w:kern w:val="0"/>
          <w:lang w:eastAsia="en-GB"/>
          <w14:ligatures w14:val="none"/>
        </w:rPr>
        <w:t xml:space="preserve">Across both survey and admissions datasets, contextual offers are consistently perceived as more appealing than standard offers, and applicants receiving them are less likely to disengage or decline Aston outright. In particular, </w:t>
      </w:r>
      <w:r w:rsidRPr="00E30D92">
        <w:rPr>
          <w:rFonts w:eastAsia="Times New Roman" w:cs="Times New Roman"/>
          <w:b/>
          <w:bCs/>
          <w:color w:val="7030A0"/>
          <w:kern w:val="0"/>
          <w:lang w:eastAsia="en-GB"/>
          <w14:ligatures w14:val="none"/>
        </w:rPr>
        <w:t>contextual offers are associated with a reduction in non</w:t>
      </w:r>
      <w:r w:rsidRPr="00E30D92">
        <w:rPr>
          <w:rFonts w:eastAsia="Times New Roman" w:cs="Times New Roman"/>
          <w:b/>
          <w:bCs/>
          <w:color w:val="7030A0"/>
          <w:kern w:val="0"/>
          <w:lang w:eastAsia="en-GB"/>
          <w14:ligatures w14:val="none"/>
        </w:rPr>
        <w:noBreakHyphen/>
        <w:t>response and decline, and a corresponding increase in applicants choosing Aston as their insurance choice, rather than as their firm choice</w:t>
      </w:r>
      <w:r w:rsidRPr="00E30D92">
        <w:rPr>
          <w:rFonts w:eastAsia="Times New Roman" w:cs="Times New Roman"/>
          <w:color w:val="000000"/>
          <w:kern w:val="0"/>
          <w:lang w:eastAsia="en-GB"/>
          <w14:ligatures w14:val="none"/>
        </w:rPr>
        <w:t>. These patterns are observed both in self</w:t>
      </w:r>
      <w:r w:rsidRPr="00E30D92">
        <w:rPr>
          <w:rFonts w:eastAsia="Times New Roman" w:cs="Times New Roman"/>
          <w:color w:val="000000"/>
          <w:kern w:val="0"/>
          <w:lang w:eastAsia="en-GB"/>
          <w14:ligatures w14:val="none"/>
        </w:rPr>
        <w:noBreakHyphen/>
        <w:t xml:space="preserve">reported perceptions and in actual UCAS decision data, strengthening confidence in their robustness. </w:t>
      </w:r>
    </w:p>
    <w:p w14:paraId="53CB77AE" w14:textId="77777777" w:rsidR="003B5A61" w:rsidRDefault="003B5A61" w:rsidP="00E30D92">
      <w:pPr>
        <w:spacing w:after="0" w:line="240" w:lineRule="auto"/>
        <w:rPr>
          <w:rFonts w:eastAsia="Times New Roman" w:cs="Times New Roman"/>
          <w:color w:val="000000"/>
          <w:kern w:val="0"/>
          <w:lang w:eastAsia="en-GB"/>
          <w14:ligatures w14:val="none"/>
        </w:rPr>
      </w:pPr>
    </w:p>
    <w:p w14:paraId="1EA19F59" w14:textId="03290517" w:rsidR="00E30D92" w:rsidRPr="0026564B" w:rsidRDefault="00E30D92" w:rsidP="00E30D92">
      <w:pPr>
        <w:spacing w:after="0" w:line="240" w:lineRule="auto"/>
        <w:rPr>
          <w:rFonts w:eastAsia="Times New Roman" w:cs="Times New Roman"/>
          <w:color w:val="000000"/>
          <w:kern w:val="0"/>
          <w:lang w:eastAsia="en-GB"/>
          <w14:ligatures w14:val="none"/>
        </w:rPr>
      </w:pPr>
      <w:r w:rsidRPr="00E30D92">
        <w:rPr>
          <w:rFonts w:eastAsia="Times New Roman" w:cs="Times New Roman"/>
          <w:b/>
          <w:bCs/>
          <w:color w:val="7030A0"/>
          <w:kern w:val="0"/>
          <w:lang w:eastAsia="en-GB"/>
          <w14:ligatures w14:val="none"/>
        </w:rPr>
        <w:t xml:space="preserve">Among those who do make Aston their firm choice, applicants holding contextual offers are </w:t>
      </w:r>
      <w:r w:rsidRPr="00E30D92">
        <w:rPr>
          <w:rFonts w:eastAsia="Times New Roman" w:cs="Times New Roman"/>
          <w:b/>
          <w:bCs/>
          <w:i/>
          <w:iCs/>
          <w:color w:val="7030A0"/>
          <w:kern w:val="0"/>
          <w:lang w:eastAsia="en-GB"/>
          <w14:ligatures w14:val="none"/>
        </w:rPr>
        <w:t>less</w:t>
      </w:r>
      <w:r w:rsidRPr="00E30D92">
        <w:rPr>
          <w:rFonts w:eastAsia="Times New Roman" w:cs="Times New Roman"/>
          <w:b/>
          <w:bCs/>
          <w:color w:val="7030A0"/>
          <w:kern w:val="0"/>
          <w:lang w:eastAsia="en-GB"/>
          <w14:ligatures w14:val="none"/>
        </w:rPr>
        <w:t xml:space="preserve"> likely to enrol than those holding standard offers, </w:t>
      </w:r>
      <w:r w:rsidR="001703B8">
        <w:rPr>
          <w:rFonts w:eastAsia="Times New Roman" w:cs="Times New Roman"/>
          <w:b/>
          <w:bCs/>
          <w:color w:val="7030A0"/>
          <w:kern w:val="0"/>
          <w:lang w:eastAsia="en-GB"/>
          <w14:ligatures w14:val="none"/>
        </w:rPr>
        <w:t>and are at greater risk of</w:t>
      </w:r>
      <w:r w:rsidRPr="00E30D92">
        <w:rPr>
          <w:rFonts w:eastAsia="Times New Roman" w:cs="Times New Roman"/>
          <w:b/>
          <w:bCs/>
          <w:color w:val="7030A0"/>
          <w:kern w:val="0"/>
          <w:lang w:eastAsia="en-GB"/>
          <w14:ligatures w14:val="none"/>
        </w:rPr>
        <w:t xml:space="preserve"> </w:t>
      </w:r>
      <w:r w:rsidR="005E5343">
        <w:rPr>
          <w:rFonts w:eastAsia="Times New Roman" w:cs="Times New Roman"/>
          <w:b/>
          <w:bCs/>
          <w:color w:val="7030A0"/>
          <w:kern w:val="0"/>
          <w:lang w:eastAsia="en-GB"/>
          <w14:ligatures w14:val="none"/>
        </w:rPr>
        <w:t>rejection</w:t>
      </w:r>
      <w:r w:rsidRPr="00E30D92">
        <w:rPr>
          <w:rFonts w:eastAsia="Times New Roman" w:cs="Times New Roman"/>
          <w:b/>
          <w:bCs/>
          <w:color w:val="7030A0"/>
          <w:kern w:val="0"/>
          <w:lang w:eastAsia="en-GB"/>
          <w14:ligatures w14:val="none"/>
        </w:rPr>
        <w:t xml:space="preserve"> at </w:t>
      </w:r>
      <w:r w:rsidR="005E5343">
        <w:rPr>
          <w:rFonts w:eastAsia="Times New Roman" w:cs="Times New Roman"/>
          <w:b/>
          <w:bCs/>
          <w:color w:val="7030A0"/>
          <w:kern w:val="0"/>
          <w:lang w:eastAsia="en-GB"/>
          <w14:ligatures w14:val="none"/>
        </w:rPr>
        <w:t>confirmation</w:t>
      </w:r>
      <w:r w:rsidRPr="00E30D92">
        <w:rPr>
          <w:rFonts w:eastAsia="Times New Roman" w:cs="Times New Roman"/>
          <w:b/>
          <w:bCs/>
          <w:color w:val="7030A0"/>
          <w:kern w:val="0"/>
          <w:lang w:eastAsia="en-GB"/>
          <w14:ligatures w14:val="none"/>
        </w:rPr>
        <w:t xml:space="preserve"> stage</w:t>
      </w:r>
      <w:r w:rsidRPr="00E30D92">
        <w:rPr>
          <w:rFonts w:eastAsia="Times New Roman" w:cs="Times New Roman"/>
          <w:color w:val="000000"/>
          <w:kern w:val="0"/>
          <w:lang w:eastAsia="en-GB"/>
          <w14:ligatures w14:val="none"/>
        </w:rPr>
        <w:t xml:space="preserve">. In contrast, applicants holding contextual offers who place Aston as their insurance choice are significantly </w:t>
      </w:r>
      <w:r w:rsidRPr="00E30D92">
        <w:rPr>
          <w:rFonts w:eastAsia="Times New Roman" w:cs="Times New Roman"/>
          <w:i/>
          <w:iCs/>
          <w:color w:val="000000"/>
          <w:kern w:val="0"/>
          <w:lang w:eastAsia="en-GB"/>
          <w14:ligatures w14:val="none"/>
        </w:rPr>
        <w:t>more</w:t>
      </w:r>
      <w:r w:rsidRPr="00E30D92">
        <w:rPr>
          <w:rFonts w:eastAsia="Times New Roman" w:cs="Times New Roman"/>
          <w:color w:val="000000"/>
          <w:kern w:val="0"/>
          <w:lang w:eastAsia="en-GB"/>
          <w14:ligatures w14:val="none"/>
        </w:rPr>
        <w:t xml:space="preserve"> likely to enrol than comparable applicants with standard offers. Taken together, these findings suggest that contextual offers at Aston function primarily as a risk</w:t>
      </w:r>
      <w:r w:rsidRPr="00E30D92">
        <w:rPr>
          <w:rFonts w:eastAsia="Times New Roman" w:cs="Times New Roman"/>
          <w:color w:val="000000"/>
          <w:kern w:val="0"/>
          <w:lang w:eastAsia="en-GB"/>
          <w14:ligatures w14:val="none"/>
        </w:rPr>
        <w:noBreakHyphen/>
        <w:t>mitigation and safety</w:t>
      </w:r>
      <w:r w:rsidRPr="00E30D92">
        <w:rPr>
          <w:rFonts w:eastAsia="Times New Roman" w:cs="Times New Roman"/>
          <w:color w:val="000000"/>
          <w:kern w:val="0"/>
          <w:lang w:eastAsia="en-GB"/>
          <w14:ligatures w14:val="none"/>
        </w:rPr>
        <w:noBreakHyphen/>
        <w:t>net mechanism, supporting enrolment through insurance conversion and reducing total attrition from the applicant pool, rather than acting as a driver of firm choice. This is consistent across attainment bands and demographic subgroups examined, including FSM</w:t>
      </w:r>
      <w:r w:rsidRPr="00E30D92">
        <w:rPr>
          <w:rFonts w:eastAsia="Times New Roman" w:cs="Times New Roman"/>
          <w:color w:val="000000"/>
          <w:kern w:val="0"/>
          <w:lang w:eastAsia="en-GB"/>
          <w14:ligatures w14:val="none"/>
        </w:rPr>
        <w:noBreakHyphen/>
        <w:t>eligible and disabled applicants.</w:t>
      </w:r>
    </w:p>
    <w:p w14:paraId="197F1CDE" w14:textId="77777777" w:rsidR="00F726FD" w:rsidRPr="00E30D92" w:rsidRDefault="00F726FD" w:rsidP="00E30D92">
      <w:pPr>
        <w:spacing w:after="0" w:line="240" w:lineRule="auto"/>
        <w:rPr>
          <w:rFonts w:eastAsia="Times New Roman" w:cs="Times New Roman"/>
          <w:color w:val="000000"/>
          <w:kern w:val="0"/>
          <w:lang w:eastAsia="en-GB"/>
          <w14:ligatures w14:val="none"/>
        </w:rPr>
      </w:pPr>
    </w:p>
    <w:p w14:paraId="396AD4E7" w14:textId="7A9721DB" w:rsidR="00E30D92" w:rsidRPr="0026564B" w:rsidRDefault="00E30D92" w:rsidP="00E30D92">
      <w:pPr>
        <w:spacing w:after="0" w:line="240" w:lineRule="auto"/>
        <w:rPr>
          <w:rFonts w:eastAsia="Times New Roman" w:cs="Times New Roman"/>
          <w:color w:val="000000"/>
          <w:kern w:val="0"/>
          <w:lang w:eastAsia="en-GB"/>
          <w14:ligatures w14:val="none"/>
        </w:rPr>
      </w:pPr>
      <w:r w:rsidRPr="00E30D92">
        <w:rPr>
          <w:rFonts w:eastAsia="Times New Roman" w:cs="Times New Roman"/>
          <w:color w:val="000000"/>
          <w:kern w:val="0"/>
          <w:lang w:eastAsia="en-GB"/>
          <w14:ligatures w14:val="none"/>
        </w:rPr>
        <w:lastRenderedPageBreak/>
        <w:t>In policy terms, contextual offers should therefore be understood as a component of a portfolio of access and participation measures, effective in sustaining applicant engagement and supporting enrolment pathways, but insufficient on their own to increase firm acceptances</w:t>
      </w:r>
      <w:r w:rsidR="00C91073">
        <w:rPr>
          <w:rFonts w:eastAsia="Times New Roman" w:cs="Times New Roman"/>
          <w:color w:val="000000"/>
          <w:kern w:val="0"/>
          <w:lang w:eastAsia="en-GB"/>
          <w14:ligatures w14:val="none"/>
        </w:rPr>
        <w:t>.</w:t>
      </w:r>
    </w:p>
    <w:sectPr w:rsidR="00E30D92" w:rsidRPr="00265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7"/>
    <w:multiLevelType w:val="hybridMultilevel"/>
    <w:tmpl w:val="61764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06EDF"/>
    <w:multiLevelType w:val="hybridMultilevel"/>
    <w:tmpl w:val="D26C1644"/>
    <w:lvl w:ilvl="0" w:tplc="8AA09C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76219"/>
    <w:multiLevelType w:val="hybridMultilevel"/>
    <w:tmpl w:val="423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5066D"/>
    <w:multiLevelType w:val="hybridMultilevel"/>
    <w:tmpl w:val="70F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F1F6A"/>
    <w:multiLevelType w:val="hybridMultilevel"/>
    <w:tmpl w:val="24BEFEEC"/>
    <w:lvl w:ilvl="0" w:tplc="CE24B64C">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EB2B2E"/>
    <w:multiLevelType w:val="multilevel"/>
    <w:tmpl w:val="9DBA5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335147">
    <w:abstractNumId w:val="0"/>
  </w:num>
  <w:num w:numId="2" w16cid:durableId="437524122">
    <w:abstractNumId w:val="1"/>
  </w:num>
  <w:num w:numId="3" w16cid:durableId="1349022511">
    <w:abstractNumId w:val="2"/>
  </w:num>
  <w:num w:numId="4" w16cid:durableId="19204698">
    <w:abstractNumId w:val="5"/>
  </w:num>
  <w:num w:numId="5" w16cid:durableId="1388265213">
    <w:abstractNumId w:val="3"/>
  </w:num>
  <w:num w:numId="6" w16cid:durableId="1789161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92"/>
    <w:rsid w:val="00017E8D"/>
    <w:rsid w:val="000221A3"/>
    <w:rsid w:val="000358F2"/>
    <w:rsid w:val="000511E9"/>
    <w:rsid w:val="00083C91"/>
    <w:rsid w:val="000A3ED8"/>
    <w:rsid w:val="000C7321"/>
    <w:rsid w:val="000F20E7"/>
    <w:rsid w:val="000F7826"/>
    <w:rsid w:val="001019AA"/>
    <w:rsid w:val="001036C7"/>
    <w:rsid w:val="001461DA"/>
    <w:rsid w:val="0015552C"/>
    <w:rsid w:val="0016347C"/>
    <w:rsid w:val="001641C7"/>
    <w:rsid w:val="001703B8"/>
    <w:rsid w:val="001D199F"/>
    <w:rsid w:val="001E05A4"/>
    <w:rsid w:val="001E1B8A"/>
    <w:rsid w:val="001F1B15"/>
    <w:rsid w:val="00257C42"/>
    <w:rsid w:val="0026564B"/>
    <w:rsid w:val="002B03C8"/>
    <w:rsid w:val="002B588A"/>
    <w:rsid w:val="00300432"/>
    <w:rsid w:val="003029ED"/>
    <w:rsid w:val="00302EC8"/>
    <w:rsid w:val="00310214"/>
    <w:rsid w:val="00336AF9"/>
    <w:rsid w:val="00341201"/>
    <w:rsid w:val="00345165"/>
    <w:rsid w:val="00345825"/>
    <w:rsid w:val="003A0F65"/>
    <w:rsid w:val="003B5A61"/>
    <w:rsid w:val="003E31F4"/>
    <w:rsid w:val="003F0288"/>
    <w:rsid w:val="004164CF"/>
    <w:rsid w:val="0043309B"/>
    <w:rsid w:val="004348AE"/>
    <w:rsid w:val="004F0A99"/>
    <w:rsid w:val="004F1755"/>
    <w:rsid w:val="005167FB"/>
    <w:rsid w:val="0052576E"/>
    <w:rsid w:val="00581042"/>
    <w:rsid w:val="005871FA"/>
    <w:rsid w:val="005B1F80"/>
    <w:rsid w:val="005D3F2C"/>
    <w:rsid w:val="005E5343"/>
    <w:rsid w:val="005F4543"/>
    <w:rsid w:val="00606627"/>
    <w:rsid w:val="00617ACA"/>
    <w:rsid w:val="00621530"/>
    <w:rsid w:val="00625E0D"/>
    <w:rsid w:val="00630866"/>
    <w:rsid w:val="006558DE"/>
    <w:rsid w:val="006700A8"/>
    <w:rsid w:val="0069347F"/>
    <w:rsid w:val="006F57AC"/>
    <w:rsid w:val="0073496D"/>
    <w:rsid w:val="00752043"/>
    <w:rsid w:val="00756D01"/>
    <w:rsid w:val="00762412"/>
    <w:rsid w:val="00773954"/>
    <w:rsid w:val="007A3DE5"/>
    <w:rsid w:val="007A4738"/>
    <w:rsid w:val="007A5DF4"/>
    <w:rsid w:val="007C493E"/>
    <w:rsid w:val="007E7B72"/>
    <w:rsid w:val="00815EC4"/>
    <w:rsid w:val="0083052C"/>
    <w:rsid w:val="0085341B"/>
    <w:rsid w:val="00897215"/>
    <w:rsid w:val="008B42E6"/>
    <w:rsid w:val="008B61E5"/>
    <w:rsid w:val="008D038B"/>
    <w:rsid w:val="008D1587"/>
    <w:rsid w:val="008D7F31"/>
    <w:rsid w:val="009028B3"/>
    <w:rsid w:val="00907747"/>
    <w:rsid w:val="00941D54"/>
    <w:rsid w:val="00967F0D"/>
    <w:rsid w:val="009F5159"/>
    <w:rsid w:val="00A02F64"/>
    <w:rsid w:val="00A05B53"/>
    <w:rsid w:val="00A07A01"/>
    <w:rsid w:val="00A10B64"/>
    <w:rsid w:val="00A21CF2"/>
    <w:rsid w:val="00A22CB7"/>
    <w:rsid w:val="00A26994"/>
    <w:rsid w:val="00A42854"/>
    <w:rsid w:val="00A435EA"/>
    <w:rsid w:val="00A56CE8"/>
    <w:rsid w:val="00A84D43"/>
    <w:rsid w:val="00AF0BA3"/>
    <w:rsid w:val="00AF534C"/>
    <w:rsid w:val="00B01F9B"/>
    <w:rsid w:val="00B76CB5"/>
    <w:rsid w:val="00B76D38"/>
    <w:rsid w:val="00B95892"/>
    <w:rsid w:val="00BB154F"/>
    <w:rsid w:val="00BB4A6C"/>
    <w:rsid w:val="00BD0806"/>
    <w:rsid w:val="00BD18DA"/>
    <w:rsid w:val="00C2238B"/>
    <w:rsid w:val="00C338DD"/>
    <w:rsid w:val="00C46E27"/>
    <w:rsid w:val="00C55969"/>
    <w:rsid w:val="00C562FA"/>
    <w:rsid w:val="00C57904"/>
    <w:rsid w:val="00C61584"/>
    <w:rsid w:val="00C631AF"/>
    <w:rsid w:val="00C84971"/>
    <w:rsid w:val="00C85EC4"/>
    <w:rsid w:val="00C91073"/>
    <w:rsid w:val="00C9485A"/>
    <w:rsid w:val="00C97AE3"/>
    <w:rsid w:val="00CA01F8"/>
    <w:rsid w:val="00CA6B95"/>
    <w:rsid w:val="00CD2292"/>
    <w:rsid w:val="00CF005A"/>
    <w:rsid w:val="00CF0A99"/>
    <w:rsid w:val="00D17651"/>
    <w:rsid w:val="00D231AC"/>
    <w:rsid w:val="00D25AF0"/>
    <w:rsid w:val="00D363DD"/>
    <w:rsid w:val="00D62154"/>
    <w:rsid w:val="00D7485F"/>
    <w:rsid w:val="00D82BF6"/>
    <w:rsid w:val="00DA17A3"/>
    <w:rsid w:val="00DA2B6E"/>
    <w:rsid w:val="00DC4999"/>
    <w:rsid w:val="00DE2A5F"/>
    <w:rsid w:val="00E21A5A"/>
    <w:rsid w:val="00E220C7"/>
    <w:rsid w:val="00E30D92"/>
    <w:rsid w:val="00E328C3"/>
    <w:rsid w:val="00E3438E"/>
    <w:rsid w:val="00E46FB3"/>
    <w:rsid w:val="00E54BDA"/>
    <w:rsid w:val="00E80534"/>
    <w:rsid w:val="00EE7525"/>
    <w:rsid w:val="00F41A45"/>
    <w:rsid w:val="00F53EFC"/>
    <w:rsid w:val="00F726FD"/>
    <w:rsid w:val="00F76DA4"/>
    <w:rsid w:val="00F94391"/>
    <w:rsid w:val="00FB09E7"/>
    <w:rsid w:val="00FB184F"/>
    <w:rsid w:val="00FB3E8F"/>
    <w:rsid w:val="00FD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09E0"/>
  <w15:chartTrackingRefBased/>
  <w15:docId w15:val="{FDA4A6E6-3353-4584-AC4C-67555041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292"/>
    <w:rPr>
      <w:rFonts w:eastAsiaTheme="majorEastAsia" w:cstheme="majorBidi"/>
      <w:color w:val="272727" w:themeColor="text1" w:themeTint="D8"/>
    </w:rPr>
  </w:style>
  <w:style w:type="paragraph" w:styleId="Title">
    <w:name w:val="Title"/>
    <w:basedOn w:val="Normal"/>
    <w:next w:val="Normal"/>
    <w:link w:val="TitleChar"/>
    <w:uiPriority w:val="10"/>
    <w:qFormat/>
    <w:rsid w:val="00CD2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292"/>
    <w:pPr>
      <w:spacing w:before="160"/>
      <w:jc w:val="center"/>
    </w:pPr>
    <w:rPr>
      <w:i/>
      <w:iCs/>
      <w:color w:val="404040" w:themeColor="text1" w:themeTint="BF"/>
    </w:rPr>
  </w:style>
  <w:style w:type="character" w:customStyle="1" w:styleId="QuoteChar">
    <w:name w:val="Quote Char"/>
    <w:basedOn w:val="DefaultParagraphFont"/>
    <w:link w:val="Quote"/>
    <w:uiPriority w:val="29"/>
    <w:rsid w:val="00CD2292"/>
    <w:rPr>
      <w:i/>
      <w:iCs/>
      <w:color w:val="404040" w:themeColor="text1" w:themeTint="BF"/>
    </w:rPr>
  </w:style>
  <w:style w:type="paragraph" w:styleId="ListParagraph">
    <w:name w:val="List Paragraph"/>
    <w:basedOn w:val="Normal"/>
    <w:uiPriority w:val="34"/>
    <w:qFormat/>
    <w:rsid w:val="00CD2292"/>
    <w:pPr>
      <w:ind w:left="720"/>
      <w:contextualSpacing/>
    </w:pPr>
  </w:style>
  <w:style w:type="character" w:styleId="IntenseEmphasis">
    <w:name w:val="Intense Emphasis"/>
    <w:basedOn w:val="DefaultParagraphFont"/>
    <w:uiPriority w:val="21"/>
    <w:qFormat/>
    <w:rsid w:val="00CD2292"/>
    <w:rPr>
      <w:i/>
      <w:iCs/>
      <w:color w:val="0F4761" w:themeColor="accent1" w:themeShade="BF"/>
    </w:rPr>
  </w:style>
  <w:style w:type="paragraph" w:styleId="IntenseQuote">
    <w:name w:val="Intense Quote"/>
    <w:basedOn w:val="Normal"/>
    <w:next w:val="Normal"/>
    <w:link w:val="IntenseQuoteChar"/>
    <w:uiPriority w:val="30"/>
    <w:qFormat/>
    <w:rsid w:val="00CD2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292"/>
    <w:rPr>
      <w:i/>
      <w:iCs/>
      <w:color w:val="0F4761" w:themeColor="accent1" w:themeShade="BF"/>
    </w:rPr>
  </w:style>
  <w:style w:type="character" w:styleId="IntenseReference">
    <w:name w:val="Intense Reference"/>
    <w:basedOn w:val="DefaultParagraphFont"/>
    <w:uiPriority w:val="32"/>
    <w:qFormat/>
    <w:rsid w:val="00CD2292"/>
    <w:rPr>
      <w:b/>
      <w:bCs/>
      <w:smallCaps/>
      <w:color w:val="0F4761" w:themeColor="accent1" w:themeShade="BF"/>
      <w:spacing w:val="5"/>
    </w:rPr>
  </w:style>
  <w:style w:type="paragraph" w:styleId="NormalWeb">
    <w:name w:val="Normal (Web)"/>
    <w:basedOn w:val="Normal"/>
    <w:uiPriority w:val="99"/>
    <w:semiHidden/>
    <w:unhideWhenUsed/>
    <w:rsid w:val="00E30D92"/>
    <w:rPr>
      <w:rFonts w:ascii="Times New Roman" w:hAnsi="Times New Roman" w:cs="Times New Roman"/>
      <w:sz w:val="24"/>
      <w:szCs w:val="24"/>
    </w:rPr>
  </w:style>
  <w:style w:type="character" w:styleId="Hyperlink">
    <w:name w:val="Hyperlink"/>
    <w:basedOn w:val="DefaultParagraphFont"/>
    <w:uiPriority w:val="99"/>
    <w:unhideWhenUsed/>
    <w:rsid w:val="00E30D92"/>
    <w:rPr>
      <w:color w:val="467886" w:themeColor="hyperlink"/>
      <w:u w:val="single"/>
    </w:rPr>
  </w:style>
  <w:style w:type="character" w:styleId="UnresolvedMention">
    <w:name w:val="Unresolved Mention"/>
    <w:basedOn w:val="DefaultParagraphFont"/>
    <w:uiPriority w:val="99"/>
    <w:semiHidden/>
    <w:unhideWhenUsed/>
    <w:rsid w:val="00E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 Moores</dc:creator>
  <cp:keywords/>
  <dc:description/>
  <cp:lastModifiedBy>Liz J Moores</cp:lastModifiedBy>
  <cp:revision>22</cp:revision>
  <dcterms:created xsi:type="dcterms:W3CDTF">2026-04-24T10:50:00Z</dcterms:created>
  <dcterms:modified xsi:type="dcterms:W3CDTF">2026-04-30T08:30:00Z</dcterms:modified>
</cp:coreProperties>
</file>